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Приложение № 1</w:t>
      </w:r>
      <w:r>
        <w:rPr>
          <w:rFonts w:ascii="Liberation Serif" w:hAnsi="Liberation Serif" w:cs="Liberation Serif"/>
        </w:rPr>
      </w:r>
    </w:p>
    <w:tbl>
      <w:tblPr>
        <w:tblW w:w="11866" w:type="dxa"/>
        <w:tblLook w:val="01E0" w:firstRow="1" w:lastRow="1" w:firstColumn="1" w:lastColumn="1" w:noHBand="0" w:noVBand="0"/>
      </w:tblPr>
      <w:tblGrid>
        <w:gridCol w:w="6487"/>
        <w:gridCol w:w="5379"/>
      </w:tblGrid>
      <w:tr>
        <w:tblPrEx/>
        <w:trPr>
          <w:trHeight w:val="2127"/>
        </w:trPr>
        <w:tc>
          <w:tcPr>
            <w:tcW w:w="6487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ffffff" w:themeColor="background1"/>
              </w:rPr>
            </w:pPr>
            <w:r>
              <w:rPr>
                <w:rFonts w:ascii="Liberation Serif" w:hAnsi="Liberation Serif" w:cs="Liberation Serif"/>
                <w:color w:val="ffffff" w:themeColor="background1"/>
              </w:rPr>
            </w:r>
            <w:r>
              <w:rPr>
                <w:rFonts w:ascii="Liberation Serif" w:hAnsi="Liberation Serif" w:cs="Liberation Serif"/>
                <w:color w:val="ffffff" w:themeColor="background1"/>
              </w:rPr>
            </w:r>
          </w:p>
          <w:p>
            <w:pPr>
              <w:rPr>
                <w:rFonts w:ascii="Liberation Serif" w:hAnsi="Liberation Serif" w:cs="Liberation Serif"/>
                <w:color w:val="ffffff" w:themeColor="background1"/>
              </w:rPr>
            </w:pPr>
            <w:r>
              <w:rPr>
                <w:rFonts w:ascii="Liberation Serif" w:hAnsi="Liberation Serif" w:eastAsia="Liberation Serif" w:cs="Liberation Serif"/>
                <w:color w:val="ffffff" w:themeColor="background1"/>
              </w:rPr>
              <w:t xml:space="preserve">Согласовано:</w:t>
            </w:r>
            <w:r>
              <w:rPr>
                <w:rFonts w:ascii="Liberation Serif" w:hAnsi="Liberation Serif" w:cs="Liberation Serif"/>
                <w:color w:val="ffffff" w:themeColor="background1"/>
              </w:rPr>
            </w:r>
          </w:p>
          <w:p>
            <w:pPr>
              <w:rPr>
                <w:rFonts w:ascii="Liberation Serif" w:hAnsi="Liberation Serif" w:cs="Liberation Serif"/>
                <w:color w:val="ffffff" w:themeColor="background1"/>
              </w:rPr>
            </w:pPr>
            <w:r>
              <w:rPr>
                <w:rFonts w:ascii="Liberation Serif" w:hAnsi="Liberation Serif" w:eastAsia="Liberation Serif" w:cs="Liberation Serif"/>
                <w:color w:val="ffffff" w:themeColor="background1"/>
              </w:rPr>
              <w:t xml:space="preserve">Заместитель технического директора (ремонт) </w:t>
            </w:r>
            <w:r>
              <w:rPr>
                <w:rFonts w:ascii="Liberation Serif" w:hAnsi="Liberation Serif" w:cs="Liberation Serif"/>
                <w:color w:val="ffffff" w:themeColor="background1"/>
              </w:rPr>
            </w:r>
          </w:p>
          <w:p>
            <w:pPr>
              <w:rPr>
                <w:rFonts w:ascii="Liberation Serif" w:hAnsi="Liberation Serif" w:cs="Liberation Serif"/>
                <w:color w:val="ffffff" w:themeColor="background1"/>
              </w:rPr>
            </w:pPr>
            <w:r>
              <w:rPr>
                <w:rFonts w:ascii="Liberation Serif" w:hAnsi="Liberation Serif" w:eastAsia="Liberation Serif" w:cs="Liberation Serif"/>
                <w:color w:val="ffffff" w:themeColor="background1"/>
              </w:rPr>
              <w:t xml:space="preserve">АО «Томская генерация»</w:t>
            </w:r>
            <w:r>
              <w:rPr>
                <w:rFonts w:ascii="Liberation Serif" w:hAnsi="Liberation Serif" w:cs="Liberation Serif"/>
                <w:color w:val="ffffff" w:themeColor="background1"/>
              </w:rPr>
            </w:r>
          </w:p>
          <w:p>
            <w:pPr>
              <w:rPr>
                <w:rFonts w:ascii="Liberation Serif" w:hAnsi="Liberation Serif" w:cs="Liberation Serif"/>
                <w:color w:val="ffffff" w:themeColor="background1"/>
              </w:rPr>
            </w:pPr>
            <w:r>
              <w:rPr>
                <w:rFonts w:ascii="Liberation Serif" w:hAnsi="Liberation Serif" w:cs="Liberation Serif"/>
                <w:color w:val="ffffff" w:themeColor="background1"/>
              </w:rPr>
            </w:r>
            <w:r>
              <w:rPr>
                <w:rFonts w:ascii="Liberation Serif" w:hAnsi="Liberation Serif" w:cs="Liberation Serif"/>
                <w:color w:val="ffffff" w:themeColor="background1"/>
              </w:rPr>
            </w:r>
          </w:p>
          <w:p>
            <w:pPr>
              <w:rPr>
                <w:rFonts w:ascii="Liberation Serif" w:hAnsi="Liberation Serif" w:cs="Liberation Serif"/>
                <w:bCs/>
                <w:color w:val="ffffff" w:themeColor="background1"/>
              </w:rPr>
            </w:pPr>
            <w:r>
              <w:rPr>
                <w:rFonts w:ascii="Liberation Serif" w:hAnsi="Liberation Serif" w:eastAsia="Liberation Serif" w:cs="Liberation Serif"/>
                <w:bCs/>
                <w:color w:val="ffffff" w:themeColor="background1"/>
              </w:rPr>
              <w:t xml:space="preserve">_________________ </w:t>
            </w:r>
            <w:r>
              <w:rPr>
                <w:rFonts w:ascii="Liberation Serif" w:hAnsi="Liberation Serif" w:eastAsia="Liberation Serif" w:cs="Liberation Serif"/>
                <w:color w:val="ffffff" w:themeColor="background1"/>
              </w:rPr>
              <w:t xml:space="preserve">П.В. Пронин</w:t>
            </w:r>
            <w:r>
              <w:rPr>
                <w:rFonts w:ascii="Liberation Serif" w:hAnsi="Liberation Serif" w:cs="Liberation Serif"/>
                <w:bCs/>
                <w:color w:val="ffffff" w:themeColor="background1"/>
              </w:rPr>
            </w:r>
          </w:p>
          <w:p>
            <w:pPr>
              <w:rPr>
                <w:rFonts w:ascii="Liberation Serif" w:hAnsi="Liberation Serif" w:cs="Liberation Serif"/>
                <w:color w:val="ffffff" w:themeColor="background1"/>
              </w:rPr>
            </w:pPr>
            <w:r>
              <w:rPr>
                <w:rFonts w:ascii="Liberation Serif" w:hAnsi="Liberation Serif" w:eastAsia="Liberation Serif" w:cs="Liberation Serif"/>
                <w:color w:val="ffffff" w:themeColor="background1"/>
              </w:rPr>
              <w:t xml:space="preserve">«___»______________ 2026 г.</w:t>
            </w:r>
            <w:r>
              <w:rPr>
                <w:rFonts w:ascii="Liberation Serif" w:hAnsi="Liberation Serif" w:cs="Liberation Serif"/>
                <w:color w:val="ffffff" w:themeColor="background1"/>
              </w:rPr>
            </w:r>
          </w:p>
          <w:p>
            <w:pPr>
              <w:rPr>
                <w:rFonts w:ascii="Liberation Serif" w:hAnsi="Liberation Serif" w:cs="Liberation Serif"/>
                <w:color w:val="ffffff" w:themeColor="background1"/>
              </w:rPr>
            </w:pPr>
            <w:r>
              <w:rPr>
                <w:rFonts w:ascii="Liberation Serif" w:hAnsi="Liberation Serif" w:cs="Liberation Serif"/>
                <w:color w:val="ffffff" w:themeColor="background1"/>
              </w:rPr>
            </w:r>
            <w:r>
              <w:rPr>
                <w:rFonts w:ascii="Liberation Serif" w:hAnsi="Liberation Serif" w:cs="Liberation Serif"/>
                <w:color w:val="ffffff" w:themeColor="background1"/>
              </w:rPr>
            </w:r>
          </w:p>
        </w:tc>
        <w:tc>
          <w:tcPr>
            <w:tcW w:w="537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ffffff" w:themeColor="background1"/>
              </w:rPr>
            </w:pPr>
            <w:r>
              <w:rPr>
                <w:rFonts w:ascii="Liberation Serif" w:hAnsi="Liberation Serif" w:cs="Liberation Serif"/>
                <w:color w:val="ffffff" w:themeColor="background1"/>
              </w:rPr>
            </w:r>
            <w:r>
              <w:rPr>
                <w:rFonts w:ascii="Liberation Serif" w:hAnsi="Liberation Serif" w:cs="Liberation Serif"/>
                <w:color w:val="ffffff" w:themeColor="background1"/>
              </w:rPr>
            </w:r>
          </w:p>
          <w:p>
            <w:pPr>
              <w:rPr>
                <w:rFonts w:ascii="Liberation Serif" w:hAnsi="Liberation Serif" w:cs="Liberation Serif"/>
                <w:color w:val="ffffff" w:themeColor="background1"/>
              </w:rPr>
            </w:pPr>
            <w:r>
              <w:rPr>
                <w:rFonts w:ascii="Liberation Serif" w:hAnsi="Liberation Serif" w:eastAsia="Liberation Serif" w:cs="Liberation Serif"/>
                <w:color w:val="ffffff" w:themeColor="background1"/>
              </w:rPr>
              <w:t xml:space="preserve">Утверждаю:</w:t>
            </w:r>
            <w:r>
              <w:rPr>
                <w:rFonts w:ascii="Liberation Serif" w:hAnsi="Liberation Serif" w:cs="Liberation Serif"/>
                <w:color w:val="ffffff" w:themeColor="background1"/>
              </w:rPr>
            </w:r>
          </w:p>
          <w:p>
            <w:pPr>
              <w:rPr>
                <w:rFonts w:ascii="Liberation Serif" w:hAnsi="Liberation Serif" w:cs="Liberation Serif"/>
                <w:color w:val="ffffff" w:themeColor="background1"/>
              </w:rPr>
            </w:pPr>
            <w:r>
              <w:rPr>
                <w:rFonts w:ascii="Liberation Serif" w:hAnsi="Liberation Serif" w:eastAsia="Liberation Serif" w:cs="Liberation Serif"/>
                <w:color w:val="ffffff" w:themeColor="background1"/>
              </w:rPr>
              <w:t xml:space="preserve">Заместитель генерального директора – </w:t>
            </w:r>
            <w:r>
              <w:rPr>
                <w:rFonts w:ascii="Liberation Serif" w:hAnsi="Liberation Serif" w:cs="Liberation Serif"/>
                <w:color w:val="ffffff" w:themeColor="background1"/>
              </w:rPr>
            </w:r>
          </w:p>
          <w:p>
            <w:pPr>
              <w:rPr>
                <w:rFonts w:ascii="Liberation Serif" w:hAnsi="Liberation Serif" w:cs="Liberation Serif"/>
                <w:color w:val="ffffff" w:themeColor="background1"/>
              </w:rPr>
            </w:pPr>
            <w:r>
              <w:rPr>
                <w:rFonts w:ascii="Liberation Serif" w:hAnsi="Liberation Serif" w:eastAsia="Liberation Serif" w:cs="Liberation Serif"/>
                <w:color w:val="ffffff" w:themeColor="background1"/>
              </w:rPr>
              <w:t xml:space="preserve">технический директор </w:t>
            </w:r>
            <w:r>
              <w:rPr>
                <w:rFonts w:ascii="Liberation Serif" w:hAnsi="Liberation Serif" w:cs="Liberation Serif"/>
                <w:color w:val="ffffff" w:themeColor="background1"/>
              </w:rPr>
            </w:r>
          </w:p>
          <w:p>
            <w:pPr>
              <w:rPr>
                <w:rFonts w:ascii="Liberation Serif" w:hAnsi="Liberation Serif" w:cs="Liberation Serif"/>
                <w:color w:val="ffffff" w:themeColor="background1"/>
              </w:rPr>
            </w:pPr>
            <w:r>
              <w:rPr>
                <w:rFonts w:ascii="Liberation Serif" w:hAnsi="Liberation Serif" w:eastAsia="Liberation Serif" w:cs="Liberation Serif"/>
                <w:color w:val="ffffff" w:themeColor="background1"/>
              </w:rPr>
              <w:t xml:space="preserve">АО «Томская генерация»</w:t>
            </w:r>
            <w:r>
              <w:rPr>
                <w:rFonts w:ascii="Liberation Serif" w:hAnsi="Liberation Serif" w:cs="Liberation Serif"/>
                <w:color w:val="ffffff" w:themeColor="background1"/>
              </w:rPr>
            </w:r>
          </w:p>
          <w:p>
            <w:pPr>
              <w:rPr>
                <w:rFonts w:ascii="Liberation Serif" w:hAnsi="Liberation Serif" w:cs="Liberation Serif"/>
                <w:bCs/>
                <w:color w:val="ffffff" w:themeColor="background1"/>
              </w:rPr>
            </w:pPr>
            <w:r>
              <w:rPr>
                <w:rFonts w:ascii="Liberation Serif" w:hAnsi="Liberation Serif" w:eastAsia="Liberation Serif" w:cs="Liberation Serif"/>
                <w:bCs/>
                <w:color w:val="ffffff" w:themeColor="background1"/>
              </w:rPr>
              <w:t xml:space="preserve">_________________ </w:t>
            </w:r>
            <w:r>
              <w:rPr>
                <w:rFonts w:ascii="Liberation Serif" w:hAnsi="Liberation Serif" w:eastAsia="Liberation Serif" w:cs="Liberation Serif"/>
                <w:color w:val="ffffff" w:themeColor="background1"/>
              </w:rPr>
              <w:t xml:space="preserve">С.Ю. Кузьмин</w:t>
            </w:r>
            <w:r>
              <w:rPr>
                <w:rFonts w:ascii="Liberation Serif" w:hAnsi="Liberation Serif" w:cs="Liberation Serif"/>
                <w:bCs/>
                <w:color w:val="ffffff" w:themeColor="background1"/>
              </w:rPr>
            </w:r>
          </w:p>
          <w:p>
            <w:pPr>
              <w:rPr>
                <w:rFonts w:ascii="Liberation Serif" w:hAnsi="Liberation Serif" w:cs="Liberation Serif"/>
                <w:color w:val="ffffff" w:themeColor="background1"/>
              </w:rPr>
            </w:pPr>
            <w:r>
              <w:rPr>
                <w:rFonts w:ascii="Liberation Serif" w:hAnsi="Liberation Serif" w:eastAsia="Liberation Serif" w:cs="Liberation Serif"/>
                <w:color w:val="ffffff" w:themeColor="background1"/>
              </w:rPr>
              <w:t xml:space="preserve">«___»______________ 2026 г.</w:t>
            </w:r>
            <w:r>
              <w:rPr>
                <w:rFonts w:ascii="Liberation Serif" w:hAnsi="Liberation Serif" w:cs="Liberation Serif"/>
                <w:color w:val="ffffff" w:themeColor="background1"/>
              </w:rPr>
            </w:r>
          </w:p>
        </w:tc>
      </w:tr>
    </w:tbl>
    <w:p>
      <w:pPr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cs="Liberation Serif"/>
          <w:b/>
          <w:bCs/>
        </w:rPr>
      </w:r>
      <w:r>
        <w:rPr>
          <w:rFonts w:ascii="Liberation Serif" w:hAnsi="Liberation Serif" w:cs="Liberation Serif"/>
          <w:b/>
          <w:bCs/>
        </w:rPr>
      </w:r>
    </w:p>
    <w:p>
      <w:pPr>
        <w:jc w:val="center"/>
        <w:spacing w:line="276" w:lineRule="auto"/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eastAsia="Liberation Serif" w:cs="Liberation Serif"/>
          <w:b/>
          <w:bCs/>
        </w:rPr>
        <w:t xml:space="preserve">ТЕХНИЧЕСКОЕ ЗАДАНИЕ</w:t>
      </w:r>
      <w:r>
        <w:rPr>
          <w:rFonts w:ascii="Liberation Serif" w:hAnsi="Liberation Serif" w:cs="Liberation Serif"/>
          <w:b/>
          <w:bCs/>
        </w:rPr>
      </w:r>
    </w:p>
    <w:p>
      <w:pPr>
        <w:jc w:val="center"/>
        <w:spacing w:line="276" w:lineRule="auto"/>
        <w:rPr>
          <w:rFonts w:ascii="Liberation Serif" w:hAnsi="Liberation Serif" w:cs="Liberation Serif"/>
          <w:bCs/>
        </w:rPr>
      </w:pPr>
      <w:r>
        <w:rPr>
          <w:rFonts w:ascii="Liberation Serif" w:hAnsi="Liberation Serif" w:eastAsia="Liberation Serif" w:cs="Liberation Serif"/>
          <w:bCs/>
        </w:rPr>
        <w:t xml:space="preserve">на выполнение работ </w:t>
      </w:r>
      <w:r>
        <w:rPr>
          <w:rFonts w:ascii="Liberation Serif" w:hAnsi="Liberation Serif" w:cs="Liberation Serif"/>
          <w:bCs/>
        </w:rPr>
      </w:r>
    </w:p>
    <w:p>
      <w:pPr>
        <w:jc w:val="center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Капитальный ремонт с подготовкой ЭПБ подогревателей ПВД-5;6;7 и ПНД-1;2;3;4 СП ТЭЦ-3 АО "Томская генерация" в 2026 г.</w:t>
      </w:r>
      <w:r>
        <w:rPr>
          <w:rFonts w:ascii="Liberation Serif" w:hAnsi="Liberation Serif" w:eastAsia="Liberation Serif" w:cs="Liberation Serif"/>
          <w:vertAlign w:val="superscript"/>
        </w:rPr>
        <w:t xml:space="preserve"> </w:t>
      </w:r>
      <w:r>
        <w:rPr>
          <w:rFonts w:ascii="Liberation Serif" w:hAnsi="Liberation Serif" w:cs="Liberation Serif"/>
        </w:rPr>
      </w:r>
    </w:p>
    <w:p>
      <w:pPr>
        <w:jc w:val="center"/>
        <w:spacing w:line="276" w:lineRule="auto"/>
        <w:rPr>
          <w:rFonts w:ascii="Liberation Serif" w:hAnsi="Liberation Serif" w:cs="Liberation Serif"/>
          <w:vertAlign w:val="superscript"/>
        </w:rPr>
      </w:pPr>
      <w:r>
        <w:rPr>
          <w:rFonts w:ascii="Liberation Serif" w:hAnsi="Liberation Serif" w:eastAsia="Liberation Serif" w:cs="Liberation Serif"/>
          <w:vertAlign w:val="superscript"/>
        </w:rPr>
        <w:t xml:space="preserve">(наименование работ в соответствии с наименованием закупки в ГКПЗ)</w:t>
      </w:r>
      <w:r>
        <w:rPr>
          <w:rFonts w:ascii="Liberation Serif" w:hAnsi="Liberation Serif" w:cs="Liberation Serif"/>
          <w:vertAlign w:val="superscript"/>
        </w:rPr>
      </w:r>
    </w:p>
    <w:p>
      <w:pPr>
        <w:pStyle w:val="845"/>
        <w:ind w:left="0"/>
        <w:jc w:val="both"/>
        <w:spacing w:after="0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</w:r>
      <w:r>
        <w:rPr>
          <w:rFonts w:ascii="Liberation Serif" w:hAnsi="Liberation Serif" w:cs="Liberation Serif"/>
          <w:b/>
          <w:sz w:val="24"/>
          <w:szCs w:val="24"/>
        </w:rPr>
      </w:r>
    </w:p>
    <w:p>
      <w:pPr>
        <w:jc w:val="both"/>
        <w:spacing w:after="240" w:line="276" w:lineRule="auto"/>
        <w:rPr>
          <w:rFonts w:ascii="Liberation Serif" w:hAnsi="Liberation Serif" w:cs="Liberation Serif"/>
          <w:b/>
        </w:rPr>
      </w:pPr>
      <w:r>
        <w:rPr>
          <w:rFonts w:ascii="Liberation Serif" w:hAnsi="Liberation Serif" w:eastAsia="Liberation Serif" w:cs="Liberation Serif"/>
          <w:b/>
        </w:rPr>
        <w:t xml:space="preserve">1. НАИМЕНОВАНИЕ РАБОТ (НОМЕНКЛАТУРА) И ПЕРЕЧЕНЬ ОБЪЕКТОВ, НА КОТОРЫХ БУДУТ ВЫПОЛНЯТЬСЯ РАБОТЫ</w:t>
      </w:r>
      <w:r>
        <w:rPr>
          <w:rFonts w:ascii="Liberation Serif" w:hAnsi="Liberation Serif" w:cs="Liberation Serif"/>
          <w:b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Работы выполняются по адресу: г. Томск, Кузовлевский тракт, 2б, на территории структурного подразделения ТЭЦ-3 АО «Томская генерация» и включают в себя:</w:t>
      </w:r>
      <w:r>
        <w:rPr>
          <w:rFonts w:ascii="Liberation Serif" w:hAnsi="Liberation Serif" w:cs="Liberation Serif"/>
        </w:rPr>
      </w:r>
    </w:p>
    <w:p>
      <w:pPr>
        <w:pStyle w:val="845"/>
        <w:numPr>
          <w:ilvl w:val="0"/>
          <w:numId w:val="7"/>
        </w:numPr>
        <w:jc w:val="both"/>
        <w:spacing w:after="0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Капитальный ремонт с подготовкой ЭПБ подогревателей ПВД-5;6;7 и ПНД-1;2;3;4 СП ТЭЦ-3 АО "Томская генерация".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845"/>
        <w:ind w:left="709"/>
        <w:jc w:val="both"/>
        <w:spacing w:after="0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845"/>
        <w:ind w:left="709" w:hanging="709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eastAsia="Liberation Serif" w:cs="Liberation Serif"/>
          <w:b/>
          <w:sz w:val="24"/>
          <w:szCs w:val="24"/>
          <w:lang w:eastAsia="ru-RU"/>
        </w:rPr>
        <w:t xml:space="preserve">2. ОБЩИЕ ТРЕБОВАНИЯ</w:t>
      </w:r>
      <w:r>
        <w:rPr>
          <w:rFonts w:ascii="Liberation Serif" w:hAnsi="Liberation Serif" w:cs="Liberation Serif"/>
          <w:b/>
          <w:sz w:val="24"/>
          <w:szCs w:val="24"/>
        </w:rPr>
      </w:r>
    </w:p>
    <w:p>
      <w:pPr>
        <w:ind w:firstLine="708"/>
        <w:jc w:val="both"/>
        <w:spacing w:line="276" w:lineRule="auto"/>
        <w:rPr>
          <w:rFonts w:ascii="Liberation Serif" w:hAnsi="Liberation Serif" w:cs="Liberation Serif"/>
          <w:b/>
        </w:rPr>
      </w:pPr>
      <w:r>
        <w:rPr>
          <w:rFonts w:ascii="Liberation Serif" w:hAnsi="Liberation Serif" w:eastAsia="Liberation Serif" w:cs="Liberation Serif"/>
          <w:b/>
        </w:rPr>
        <w:t xml:space="preserve">2.1. Основание для выполнения работ</w:t>
      </w:r>
      <w:r>
        <w:rPr>
          <w:rFonts w:ascii="Liberation Serif" w:hAnsi="Liberation Serif" w:cs="Liberation Serif"/>
          <w:b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  <w:b/>
        </w:rPr>
      </w:pPr>
      <w:r>
        <w:rPr>
          <w:rFonts w:ascii="Liberation Serif" w:hAnsi="Liberation Serif" w:eastAsia="Liberation Serif" w:cs="Liberation Serif"/>
        </w:rPr>
        <w:t xml:space="preserve">Истечение нормативного срока службы оборудования</w:t>
      </w:r>
      <w:r>
        <w:rPr>
          <w:rFonts w:ascii="Liberation Serif" w:hAnsi="Liberation Serif" w:cs="Liberation Serif"/>
          <w:b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  <w:b/>
        </w:rPr>
      </w:pPr>
      <w:r>
        <w:rPr>
          <w:rFonts w:ascii="Liberation Serif" w:hAnsi="Liberation Serif" w:eastAsia="Liberation Serif" w:cs="Liberation Serif"/>
          <w:b/>
        </w:rPr>
        <w:t xml:space="preserve">2.2. Требования к срокам выполнения работ</w:t>
      </w:r>
      <w:r>
        <w:rPr>
          <w:rFonts w:ascii="Liberation Serif" w:hAnsi="Liberation Serif" w:cs="Liberation Serif"/>
          <w:b/>
        </w:rPr>
      </w:r>
    </w:p>
    <w:p>
      <w:pPr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Общий срок производства работ</w:t>
      </w:r>
      <w:r>
        <w:rPr>
          <w:rFonts w:ascii="Liberation Serif" w:hAnsi="Liberation Serif" w:eastAsia="Liberation Serif" w:cs="Liberation Serif"/>
        </w:rPr>
        <w:t xml:space="preserve">:</w:t>
      </w:r>
      <w:r>
        <w:rPr>
          <w:rFonts w:ascii="Liberation Serif" w:hAnsi="Liberation Serif" w:eastAsia="Liberation Serif" w:cs="Liberation Serif"/>
        </w:rPr>
        <w:t xml:space="preserve"> </w:t>
      </w:r>
      <w:r>
        <w:rPr>
          <w:rFonts w:ascii="Liberation Serif" w:hAnsi="Liberation Serif" w:cs="Liberation Serif"/>
          <w:color w:val="000000" w:themeColor="text1"/>
        </w:rPr>
        <w:t xml:space="preserve">с </w:t>
      </w:r>
      <w:r>
        <w:rPr>
          <w:rFonts w:ascii="Liberation Serif" w:hAnsi="Liberation Serif" w:eastAsia="Liberation Serif" w:cs="Liberation Serif"/>
          <w:color w:val="000000" w:themeColor="text1"/>
        </w:rPr>
        <w:t xml:space="preserve">даты заключения договора</w:t>
      </w:r>
      <w:r>
        <w:rPr>
          <w:rFonts w:ascii="Liberation Serif" w:hAnsi="Liberation Serif" w:cs="Liberation Serif"/>
          <w:color w:val="000000" w:themeColor="text1"/>
        </w:rPr>
        <w:t xml:space="preserve"> </w:t>
      </w:r>
      <w:r>
        <w:rPr>
          <w:rFonts w:ascii="Liberation Serif" w:hAnsi="Liberation Serif" w:eastAsia="Liberation Serif" w:cs="Liberation Serif"/>
        </w:rPr>
        <w:t xml:space="preserve">по «31» августа 2026 г</w:t>
      </w:r>
      <w:r>
        <w:rPr>
          <w:rFonts w:ascii="Liberation Serif" w:hAnsi="Liberation Serif" w:eastAsia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</w:p>
    <w:p>
      <w:pPr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2.2.1. Капитальный ремонт с подготовкой ЭПБ подогревателей ПВД-5;6;7 и ПНД-1;2;3;4 СП ТЭЦ-3.</w:t>
      </w:r>
      <w:r>
        <w:rPr>
          <w:rFonts w:ascii="Liberation Serif" w:hAnsi="Liberation Serif" w:cs="Liberation Serif"/>
        </w:rPr>
      </w:r>
    </w:p>
    <w:p>
      <w:pPr>
        <w:pStyle w:val="845"/>
        <w:numPr>
          <w:ilvl w:val="0"/>
          <w:numId w:val="6"/>
        </w:numPr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начало – </w:t>
      </w:r>
      <w:r>
        <w:rPr>
          <w:rFonts w:ascii="Liberation Serif" w:hAnsi="Liberation Serif" w:cs="Liberation Serif"/>
          <w:color w:val="000000" w:themeColor="text1"/>
        </w:rPr>
        <w:t xml:space="preserve">с </w:t>
      </w:r>
      <w:r>
        <w:rPr>
          <w:rFonts w:ascii="Liberation Serif" w:hAnsi="Liberation Serif" w:eastAsia="Liberation Serif" w:cs="Liberation Serif"/>
          <w:color w:val="000000" w:themeColor="text1"/>
        </w:rPr>
        <w:t xml:space="preserve">даты заключения договора;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845"/>
        <w:numPr>
          <w:ilvl w:val="0"/>
          <w:numId w:val="6"/>
        </w:numPr>
        <w:jc w:val="both"/>
        <w:spacing w:after="0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окончание – «31» августа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2026 г.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708"/>
        <w:jc w:val="both"/>
        <w:spacing w:line="276" w:lineRule="auto"/>
        <w:rPr>
          <w:rFonts w:ascii="Liberation Serif" w:hAnsi="Liberation Serif" w:cs="Liberation Serif"/>
          <w:b/>
        </w:rPr>
      </w:pPr>
      <w:r>
        <w:rPr>
          <w:rFonts w:ascii="Liberation Serif" w:hAnsi="Liberation Serif" w:eastAsia="Liberation Serif" w:cs="Liberation Serif"/>
          <w:b/>
        </w:rPr>
        <w:t xml:space="preserve">2.3. Нормативные требования к качеству работ, их результату</w:t>
      </w:r>
      <w:r>
        <w:rPr>
          <w:rFonts w:ascii="Liberation Serif" w:hAnsi="Liberation Serif" w:cs="Liberation Serif"/>
          <w:b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Все работы должны выполняться в соответствии с настоящим техническим заданием. По</w:t>
      </w:r>
      <w:r>
        <w:rPr>
          <w:rFonts w:ascii="Liberation Serif" w:hAnsi="Liberation Serif" w:eastAsia="Liberation Serif" w:cs="Liberation Serif"/>
        </w:rPr>
        <w:t xml:space="preserve">следовательность выполнения работ должна соответствовать технологическому процессу на основании линейного графика, разрабатываемого Подрядчиком, с соблюдением нормативно-правовых актов РФ, регулирующий данный вид деятельности, включая, но не ограничиваясь:</w:t>
      </w:r>
      <w:r>
        <w:rPr>
          <w:rFonts w:ascii="Liberation Serif" w:hAnsi="Liberation Serif" w:cs="Liberation Serif"/>
        </w:rPr>
      </w:r>
    </w:p>
    <w:p>
      <w:pPr>
        <w:pStyle w:val="845"/>
        <w:numPr>
          <w:ilvl w:val="0"/>
          <w:numId w:val="5"/>
        </w:numPr>
        <w:ind w:left="0" w:firstLine="851"/>
        <w:jc w:val="both"/>
        <w:spacing w:after="0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СНиП 12-03-2001, СНиП 12-04-2002 «Безопасность труда в строительстве»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;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845"/>
        <w:numPr>
          <w:ilvl w:val="0"/>
          <w:numId w:val="5"/>
        </w:numPr>
        <w:ind w:left="0" w:firstLine="851"/>
        <w:jc w:val="both"/>
        <w:spacing w:after="0"/>
        <w:rPr>
          <w:rFonts w:ascii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hAnsi="Liberation Serif" w:eastAsia="Liberation Serif" w:cs="Liberation Serif"/>
          <w:sz w:val="24"/>
          <w:szCs w:val="24"/>
          <w:highlight w:val="white"/>
          <w:lang w:eastAsia="ru-RU"/>
        </w:rPr>
        <w:t xml:space="preserve">ГОСТ 12.3.003-86 ССБТ. «Работы электросварочные. Требования безопасности»;</w:t>
      </w:r>
      <w:r>
        <w:rPr>
          <w:rFonts w:ascii="Liberation Serif" w:hAnsi="Liberation Serif" w:cs="Liberation Serif"/>
          <w:sz w:val="24"/>
          <w:szCs w:val="24"/>
          <w:highlight w:val="white"/>
        </w:rPr>
      </w:r>
    </w:p>
    <w:p>
      <w:pPr>
        <w:pStyle w:val="845"/>
        <w:numPr>
          <w:ilvl w:val="0"/>
          <w:numId w:val="5"/>
        </w:numPr>
        <w:ind w:left="0" w:firstLine="851"/>
        <w:jc w:val="both"/>
        <w:spacing w:after="0"/>
        <w:rPr>
          <w:rFonts w:ascii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hAnsi="Liberation Serif" w:eastAsia="Liberation Serif" w:cs="Liberation Serif"/>
          <w:sz w:val="24"/>
          <w:szCs w:val="24"/>
          <w:highlight w:val="white"/>
          <w:lang w:eastAsia="ru-RU"/>
        </w:rPr>
        <w:t xml:space="preserve">«Правила по охране труда при выполнении электросварочных и газосварочных работ» Приказ Минтруда России от 11.12.2020 N 884н;</w:t>
      </w:r>
      <w:r>
        <w:rPr>
          <w:rFonts w:ascii="Liberation Serif" w:hAnsi="Liberation Serif" w:cs="Liberation Serif"/>
          <w:sz w:val="24"/>
          <w:szCs w:val="24"/>
          <w:highlight w:val="white"/>
        </w:rPr>
      </w:r>
    </w:p>
    <w:p>
      <w:pPr>
        <w:pStyle w:val="845"/>
        <w:numPr>
          <w:ilvl w:val="0"/>
          <w:numId w:val="5"/>
        </w:numPr>
        <w:ind w:left="0" w:firstLine="851"/>
        <w:jc w:val="both"/>
        <w:spacing w:after="0"/>
        <w:rPr>
          <w:rFonts w:ascii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hAnsi="Liberation Serif" w:eastAsia="Liberation Serif" w:cs="Liberation Serif"/>
          <w:sz w:val="24"/>
          <w:szCs w:val="24"/>
          <w:highlight w:val="white"/>
        </w:rPr>
        <w:t xml:space="preserve">Федеральный закон №116 ФЗ «О промышленной безопасности опасных производственных объектов»;</w:t>
      </w:r>
      <w:r>
        <w:rPr>
          <w:rFonts w:ascii="Liberation Serif" w:hAnsi="Liberation Serif" w:cs="Liberation Serif"/>
          <w:sz w:val="24"/>
          <w:szCs w:val="24"/>
          <w:highlight w:val="white"/>
        </w:rPr>
      </w:r>
    </w:p>
    <w:p>
      <w:pPr>
        <w:pStyle w:val="845"/>
        <w:numPr>
          <w:ilvl w:val="0"/>
          <w:numId w:val="5"/>
        </w:numPr>
        <w:ind w:left="0" w:firstLine="851"/>
        <w:jc w:val="both"/>
        <w:spacing w:after="0"/>
        <w:rPr>
          <w:rFonts w:ascii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hAnsi="Liberation Serif" w:eastAsia="Liberation Serif" w:cs="Liberation Serif"/>
          <w:sz w:val="24"/>
          <w:szCs w:val="24"/>
          <w:highlight w:val="white"/>
        </w:rPr>
        <w:t xml:space="preserve">«Правила организации технического обслуживания и ремонта объектов электроэнергетики». Приказ Минэнерго РФ от 25 октября 2017г. №1013 (в редакции Приказа Минэнерго РФ от 19 декабря 2023 г. № 1180);</w:t>
      </w:r>
      <w:r>
        <w:rPr>
          <w:rFonts w:ascii="Liberation Serif" w:hAnsi="Liberation Serif" w:cs="Liberation Serif"/>
          <w:sz w:val="24"/>
          <w:szCs w:val="24"/>
          <w:highlight w:val="white"/>
        </w:rPr>
      </w:r>
    </w:p>
    <w:p>
      <w:pPr>
        <w:pStyle w:val="845"/>
        <w:numPr>
          <w:ilvl w:val="0"/>
          <w:numId w:val="5"/>
        </w:numPr>
        <w:ind w:left="0" w:firstLine="851"/>
        <w:jc w:val="both"/>
        <w:spacing w:after="0"/>
        <w:rPr>
          <w:rFonts w:ascii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hAnsi="Liberation Serif" w:eastAsia="Liberation Serif" w:cs="Liberation Serif"/>
          <w:sz w:val="24"/>
          <w:szCs w:val="24"/>
          <w:highlight w:val="white"/>
          <w:lang w:eastAsia="ru-RU"/>
        </w:rPr>
        <w:t xml:space="preserve">СО 34.04.181-2003 Правила организации технического обслуживания и ремонта оборудования, зданий и сооружений электростанций и сетей;</w:t>
      </w:r>
      <w:r>
        <w:rPr>
          <w:rFonts w:ascii="Liberation Serif" w:hAnsi="Liberation Serif" w:cs="Liberation Serif"/>
          <w:sz w:val="24"/>
          <w:szCs w:val="24"/>
          <w:highlight w:val="white"/>
        </w:rPr>
      </w:r>
    </w:p>
    <w:p>
      <w:pPr>
        <w:pStyle w:val="845"/>
        <w:numPr>
          <w:ilvl w:val="0"/>
          <w:numId w:val="5"/>
        </w:numPr>
        <w:ind w:left="0" w:firstLine="709"/>
        <w:jc w:val="both"/>
        <w:spacing w:after="0"/>
        <w:rPr>
          <w:rFonts w:ascii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hAnsi="Liberation Serif" w:eastAsia="Liberation Serif" w:cs="Liberation Serif"/>
          <w:sz w:val="24"/>
          <w:szCs w:val="24"/>
          <w:highlight w:val="white"/>
          <w:lang w:eastAsia="ru-RU"/>
        </w:rPr>
        <w:t xml:space="preserve">ГОСТ 9.402-2004 "Единая система защиты от коррозии и старения, Подготовка металлических покрытий к окрашиванию"</w:t>
      </w:r>
      <w:r>
        <w:rPr>
          <w:rFonts w:ascii="Liberation Serif" w:hAnsi="Liberation Serif" w:cs="Liberation Serif"/>
          <w:sz w:val="24"/>
          <w:szCs w:val="24"/>
          <w:highlight w:val="white"/>
        </w:rPr>
      </w:r>
    </w:p>
    <w:p>
      <w:pPr>
        <w:pStyle w:val="845"/>
        <w:numPr>
          <w:ilvl w:val="0"/>
          <w:numId w:val="5"/>
        </w:numPr>
        <w:ind w:left="0" w:firstLine="851"/>
        <w:jc w:val="both"/>
        <w:spacing w:after="0"/>
        <w:rPr>
          <w:rFonts w:ascii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hAnsi="Liberation Serif" w:eastAsia="Liberation Serif" w:cs="Liberation Serif"/>
          <w:sz w:val="24"/>
          <w:szCs w:val="24"/>
          <w:highlight w:val="white"/>
          <w:lang w:eastAsia="ru-RU"/>
        </w:rPr>
        <w:t xml:space="preserve">Правила технической эксплуатации электрических станций и сетей Российской Федерации», утв. приказом Министерства энергетики РФ от 04.10.2022г. № 1070;</w:t>
      </w:r>
      <w:r>
        <w:rPr>
          <w:rFonts w:ascii="Liberation Serif" w:hAnsi="Liberation Serif" w:cs="Liberation Serif"/>
          <w:sz w:val="24"/>
          <w:szCs w:val="24"/>
          <w:highlight w:val="white"/>
        </w:rPr>
      </w:r>
    </w:p>
    <w:p>
      <w:pPr>
        <w:pStyle w:val="845"/>
        <w:numPr>
          <w:ilvl w:val="0"/>
          <w:numId w:val="5"/>
        </w:numPr>
        <w:ind w:left="0" w:firstLine="851"/>
        <w:jc w:val="both"/>
        <w:spacing w:after="0"/>
        <w:rPr>
          <w:rFonts w:ascii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hAnsi="Liberation Serif" w:eastAsia="Liberation Serif" w:cs="Liberation Serif"/>
          <w:sz w:val="24"/>
          <w:szCs w:val="24"/>
          <w:highlight w:val="white"/>
        </w:rPr>
        <w:t xml:space="preserve">РД 34.03.201-97 «Правила техники безопасности при эксплуатации тепломеханического оборудования электростанций и тепловых сетей»;</w:t>
      </w:r>
      <w:r>
        <w:rPr>
          <w:rFonts w:ascii="Liberation Serif" w:hAnsi="Liberation Serif" w:cs="Liberation Serif"/>
          <w:sz w:val="24"/>
          <w:szCs w:val="24"/>
          <w:highlight w:val="white"/>
        </w:rPr>
      </w:r>
    </w:p>
    <w:p>
      <w:pPr>
        <w:pStyle w:val="845"/>
        <w:numPr>
          <w:ilvl w:val="0"/>
          <w:numId w:val="5"/>
        </w:numPr>
        <w:ind w:left="0" w:firstLine="851"/>
        <w:jc w:val="both"/>
        <w:spacing w:after="0"/>
        <w:rPr>
          <w:rFonts w:ascii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hAnsi="Liberation Serif" w:eastAsia="Liberation Serif" w:cs="Liberation Serif"/>
          <w:sz w:val="24"/>
          <w:szCs w:val="24"/>
          <w:highlight w:val="white"/>
        </w:rPr>
        <w:t xml:space="preserve">ГОСТ 12.1.005-88 «Система стандартов безопасности труда. Общие санитарно-гигиенические требования к воздуху рабочей зоны»;</w:t>
      </w:r>
      <w:r>
        <w:rPr>
          <w:rFonts w:ascii="Liberation Serif" w:hAnsi="Liberation Serif" w:cs="Liberation Serif"/>
          <w:sz w:val="24"/>
          <w:szCs w:val="24"/>
          <w:highlight w:val="white"/>
        </w:rPr>
      </w:r>
    </w:p>
    <w:p>
      <w:pPr>
        <w:pStyle w:val="845"/>
        <w:numPr>
          <w:ilvl w:val="0"/>
          <w:numId w:val="5"/>
        </w:numPr>
        <w:ind w:left="0" w:firstLine="851"/>
        <w:jc w:val="both"/>
        <w:spacing w:after="0"/>
        <w:rPr>
          <w:rFonts w:ascii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hAnsi="Liberation Serif" w:cs="Liberation Serif"/>
          <w:sz w:val="24"/>
          <w:szCs w:val="24"/>
        </w:rPr>
        <w:t xml:space="preserve">«Правила по охране труда при работе на высоте» (Приказ Минтруда России от 16.11.2020 N 782н.)</w:t>
      </w:r>
      <w:r>
        <w:rPr>
          <w:rFonts w:ascii="Liberation Serif" w:hAnsi="Liberation Serif" w:cs="Liberation Serif"/>
          <w:sz w:val="24"/>
          <w:szCs w:val="24"/>
          <w:highlight w:val="white"/>
        </w:rPr>
      </w:r>
    </w:p>
    <w:p>
      <w:pPr>
        <w:pStyle w:val="845"/>
        <w:numPr>
          <w:ilvl w:val="0"/>
          <w:numId w:val="5"/>
        </w:numPr>
        <w:ind w:left="0" w:firstLine="851"/>
        <w:jc w:val="both"/>
        <w:spacing w:after="0"/>
        <w:rPr>
          <w:rFonts w:ascii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hAnsi="Liberation Serif" w:eastAsia="Liberation Serif" w:cs="Liberation Serif"/>
          <w:sz w:val="24"/>
          <w:szCs w:val="24"/>
          <w:highlight w:val="white"/>
        </w:rPr>
        <w:t xml:space="preserve">«Правила по охране труда при работе с инструментом и приспособлениями» (Зарегистрированных в Минюсте России 11.12.2020 года № 61411);</w:t>
      </w:r>
      <w:r>
        <w:rPr>
          <w:rFonts w:ascii="Liberation Serif" w:hAnsi="Liberation Serif" w:cs="Liberation Serif"/>
          <w:sz w:val="24"/>
          <w:szCs w:val="24"/>
          <w:highlight w:val="white"/>
        </w:rPr>
      </w:r>
    </w:p>
    <w:p>
      <w:pPr>
        <w:pStyle w:val="845"/>
        <w:numPr>
          <w:ilvl w:val="0"/>
          <w:numId w:val="5"/>
        </w:numPr>
        <w:ind w:left="0" w:firstLine="851"/>
        <w:jc w:val="both"/>
        <w:spacing w:after="0"/>
        <w:rPr>
          <w:rFonts w:ascii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hAnsi="Liberation Serif" w:eastAsia="Liberation Serif" w:cs="Liberation Serif"/>
          <w:sz w:val="24"/>
          <w:szCs w:val="24"/>
          <w:highlight w:val="white"/>
          <w:lang w:eastAsia="ru-RU"/>
        </w:rPr>
        <w:t xml:space="preserve">Правила противопожарного режима в РФ, утверждены постановлением Правительства РФ № 1479 от 16.09.2020 г.;</w:t>
      </w:r>
      <w:r>
        <w:rPr>
          <w:rFonts w:ascii="Liberation Serif" w:hAnsi="Liberation Serif" w:cs="Liberation Serif"/>
          <w:sz w:val="24"/>
          <w:szCs w:val="24"/>
          <w:highlight w:val="white"/>
        </w:rPr>
      </w:r>
    </w:p>
    <w:p>
      <w:pPr>
        <w:pStyle w:val="845"/>
        <w:numPr>
          <w:ilvl w:val="0"/>
          <w:numId w:val="5"/>
        </w:numPr>
        <w:ind w:left="0" w:firstLine="851"/>
        <w:jc w:val="both"/>
        <w:spacing w:after="0"/>
        <w:rPr>
          <w:rFonts w:ascii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hAnsi="Liberation Serif" w:eastAsia="Liberation Serif" w:cs="Liberation Serif"/>
          <w:sz w:val="24"/>
          <w:szCs w:val="24"/>
          <w:highlight w:val="white"/>
          <w:lang w:eastAsia="ru-RU"/>
        </w:rPr>
        <w:t xml:space="preserve">РД 153-34.0-03.301-00 Правила пожарной безопасности для энергетических предприятий;</w:t>
      </w:r>
      <w:r>
        <w:rPr>
          <w:rFonts w:ascii="Liberation Serif" w:hAnsi="Liberation Serif" w:cs="Liberation Serif"/>
          <w:sz w:val="24"/>
          <w:szCs w:val="24"/>
          <w:highlight w:val="white"/>
        </w:rPr>
      </w:r>
    </w:p>
    <w:p>
      <w:pPr>
        <w:pStyle w:val="845"/>
        <w:numPr>
          <w:ilvl w:val="0"/>
          <w:numId w:val="5"/>
        </w:numPr>
        <w:ind w:left="0" w:firstLine="851"/>
        <w:jc w:val="both"/>
        <w:spacing w:after="0"/>
        <w:rPr>
          <w:rFonts w:ascii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hAnsi="Liberation Serif" w:eastAsia="Liberation Serif" w:cs="Liberation Serif"/>
          <w:sz w:val="24"/>
          <w:szCs w:val="24"/>
          <w:highlight w:val="white"/>
          <w:lang w:eastAsia="ru-RU"/>
        </w:rPr>
        <w:t xml:space="preserve">Федеральные нормы и правила в области промышленной безопасности «Правила промышленной безопасности при использовании оборудования, работающего под избыточным давлением» (утверждены приказом Ростехнадзора № 536 от 15.12.2020 г.);</w:t>
      </w:r>
      <w:r>
        <w:rPr>
          <w:rFonts w:ascii="Liberation Serif" w:hAnsi="Liberation Serif" w:cs="Liberation Serif"/>
          <w:sz w:val="24"/>
          <w:szCs w:val="24"/>
          <w:highlight w:val="white"/>
        </w:rPr>
      </w:r>
    </w:p>
    <w:p>
      <w:pPr>
        <w:pStyle w:val="845"/>
        <w:numPr>
          <w:ilvl w:val="0"/>
          <w:numId w:val="5"/>
        </w:numPr>
        <w:ind w:left="0" w:firstLine="851"/>
        <w:jc w:val="both"/>
        <w:spacing w:after="0"/>
        <w:rPr>
          <w:rFonts w:ascii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hAnsi="Liberation Serif" w:eastAsia="Liberation Serif" w:cs="Liberation Serif"/>
          <w:sz w:val="24"/>
          <w:szCs w:val="24"/>
          <w:highlight w:val="white"/>
          <w:lang w:eastAsia="ru-RU"/>
        </w:rPr>
        <w:t xml:space="preserve">Федеральные нормы и правила в области промышленной безопасности «Правила безопасности сетей газораспределения и газопотребления» (утверждены приказом Ростехнадзора № 531 от 15.12.2020 г.);</w:t>
      </w:r>
      <w:r>
        <w:rPr>
          <w:rFonts w:ascii="Liberation Serif" w:hAnsi="Liberation Serif" w:cs="Liberation Serif"/>
          <w:sz w:val="24"/>
          <w:szCs w:val="24"/>
          <w:highlight w:val="white"/>
        </w:rPr>
      </w:r>
    </w:p>
    <w:p>
      <w:pPr>
        <w:pStyle w:val="845"/>
        <w:numPr>
          <w:ilvl w:val="0"/>
          <w:numId w:val="5"/>
        </w:numPr>
        <w:ind w:left="0" w:firstLine="851"/>
        <w:jc w:val="both"/>
        <w:spacing w:after="0"/>
        <w:rPr>
          <w:rFonts w:ascii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hAnsi="Liberation Serif" w:eastAsia="Liberation Serif" w:cs="Liberation Serif"/>
          <w:sz w:val="24"/>
          <w:szCs w:val="24"/>
          <w:highlight w:val="white"/>
          <w:lang w:eastAsia="ru-RU"/>
        </w:rPr>
        <w:t xml:space="preserve">Федеральные нормы и правила в области промышленной безопасности «Правила безопасного ведения газоопасных, огневых и ремонтных работ», утв.  приказом Федеральной службы по экологическому, технологическому и атомному надзору от 15 декабря 2020 г. № 528</w:t>
      </w:r>
      <w:r>
        <w:rPr>
          <w:rFonts w:ascii="Liberation Serif" w:hAnsi="Liberation Serif" w:cs="Liberation Serif"/>
          <w:sz w:val="24"/>
          <w:szCs w:val="24"/>
          <w:highlight w:val="white"/>
        </w:rPr>
      </w:r>
    </w:p>
    <w:p>
      <w:pPr>
        <w:pStyle w:val="845"/>
        <w:numPr>
          <w:ilvl w:val="0"/>
          <w:numId w:val="5"/>
        </w:numPr>
        <w:ind w:left="0" w:firstLine="851"/>
        <w:jc w:val="both"/>
        <w:spacing w:after="0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highlight w:val="white"/>
          <w:lang w:eastAsia="ru-RU"/>
        </w:rPr>
        <w:t xml:space="preserve">Заводские инструкции, ТУ и правила безопасности при работе с ин</w:t>
      </w: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струментом и приспособлениями;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845"/>
        <w:numPr>
          <w:ilvl w:val="0"/>
          <w:numId w:val="5"/>
        </w:numPr>
        <w:ind w:left="0" w:firstLine="851"/>
        <w:jc w:val="both"/>
        <w:spacing w:after="0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Нормы безопасности строительных, ремонтно-монтажных и сопутствующих работ, требования об охране окружающей среды, а также ПУЭ, правила Ростехнадзора и прочие действующие нормативно-технические документы, доведенные заказчиком до Подрядчика.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line="276" w:lineRule="auto"/>
        <w:rPr>
          <w:rFonts w:ascii="Liberation Serif" w:hAnsi="Liberation Serif" w:cs="Liberation Serif"/>
          <w:b/>
        </w:rPr>
      </w:pPr>
      <w:r>
        <w:rPr>
          <w:rFonts w:ascii="Liberation Serif" w:hAnsi="Liberation Serif" w:eastAsia="Liberation Serif" w:cs="Liberation Serif"/>
          <w:b/>
        </w:rPr>
        <w:t xml:space="preserve">3. ТРЕБОВАНИЯ К ВЫПОЛНЕНИЮ РАБОТ</w:t>
      </w:r>
      <w:r>
        <w:rPr>
          <w:rFonts w:ascii="Liberation Serif" w:hAnsi="Liberation Serif" w:cs="Liberation Serif"/>
          <w:b/>
        </w:rPr>
      </w:r>
    </w:p>
    <w:p>
      <w:pPr>
        <w:jc w:val="both"/>
        <w:spacing w:line="276" w:lineRule="auto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left="708"/>
        <w:jc w:val="both"/>
        <w:spacing w:line="276" w:lineRule="auto"/>
        <w:rPr>
          <w:rFonts w:ascii="Liberation Serif" w:hAnsi="Liberation Serif" w:cs="Liberation Serif"/>
          <w:b/>
        </w:rPr>
      </w:pPr>
      <w:r>
        <w:rPr>
          <w:rFonts w:ascii="Liberation Serif" w:hAnsi="Liberation Serif" w:eastAsia="Liberation Serif" w:cs="Liberation Serif"/>
          <w:b/>
        </w:rPr>
        <w:t xml:space="preserve">3.1. Объем выполняемых работ</w:t>
      </w:r>
      <w:r>
        <w:rPr>
          <w:rFonts w:ascii="Liberation Serif" w:hAnsi="Liberation Serif" w:cs="Liberation Serif"/>
          <w:b/>
        </w:rPr>
      </w:r>
    </w:p>
    <w:p>
      <w:pPr>
        <w:ind w:firstLine="708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Объемы работ должны быть выполнены в строгом соответствии с ведомостями объемов работ и локально-сметными расчетами, представленными Заказчиком (</w:t>
      </w:r>
      <w:r>
        <w:rPr>
          <w:rFonts w:ascii="Liberation Serif" w:hAnsi="Liberation Serif" w:eastAsia="Liberation Serif" w:cs="Liberation Serif"/>
        </w:rPr>
        <w:t xml:space="preserve">Приложения №№ 1-2)</w:t>
      </w:r>
      <w:r>
        <w:rPr>
          <w:rFonts w:ascii="Liberation Serif" w:hAnsi="Liberation Serif" w:cs="Liberation Serif"/>
        </w:rPr>
      </w:r>
    </w:p>
    <w:p>
      <w:pPr>
        <w:ind w:left="708"/>
        <w:jc w:val="both"/>
        <w:spacing w:line="276" w:lineRule="auto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left="708"/>
        <w:jc w:val="both"/>
        <w:spacing w:line="276" w:lineRule="auto"/>
        <w:rPr>
          <w:rFonts w:ascii="Liberation Serif" w:hAnsi="Liberation Serif" w:cs="Liberation Serif"/>
          <w:b/>
        </w:rPr>
      </w:pPr>
      <w:r>
        <w:rPr>
          <w:rFonts w:ascii="Liberation Serif" w:hAnsi="Liberation Serif" w:eastAsia="Liberation Serif" w:cs="Liberation Serif"/>
          <w:b/>
        </w:rPr>
        <w:t xml:space="preserve">3.2. Требования к последовательности этапов выполнения работ</w:t>
      </w:r>
      <w:r>
        <w:rPr>
          <w:rFonts w:ascii="Liberation Serif" w:hAnsi="Liberation Serif" w:cs="Liberation Serif"/>
          <w:b/>
        </w:rPr>
      </w:r>
    </w:p>
    <w:p>
      <w:pPr>
        <w:ind w:firstLine="708"/>
        <w:jc w:val="both"/>
        <w:spacing w:line="276" w:lineRule="auto"/>
        <w:rPr>
          <w:rFonts w:ascii="Liberation Serif" w:hAnsi="Liberation Serif" w:cs="Liberation Serif"/>
          <w:b/>
        </w:rPr>
      </w:pPr>
      <w:r>
        <w:rPr>
          <w:rFonts w:ascii="Liberation Serif" w:hAnsi="Liberation Serif" w:eastAsia="Liberation Serif" w:cs="Liberation Serif"/>
        </w:rPr>
        <w:t xml:space="preserve">Подрядчик обязан не позднее 10 суток после подписания договора представить заказчику на утверждение линейный график проведения работ.</w:t>
      </w:r>
      <w:r>
        <w:rPr>
          <w:rFonts w:ascii="Liberation Serif" w:hAnsi="Liberation Serif" w:cs="Liberation Serif"/>
          <w:b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В </w:t>
      </w:r>
      <w:r>
        <w:rPr>
          <w:rFonts w:ascii="Liberation Serif" w:hAnsi="Liberation Serif" w:eastAsia="Liberation Serif" w:cs="Liberation Serif"/>
        </w:rPr>
        <w:t xml:space="preserve">сроки, установленные пунктом 2.2 должны быть закончены все работы, осуществлён вывоз мусора и отходов, образовавшихся в процессе проведения работ с последующей их утилизацией Подрядчиком, приведена в надлежащий вид рабочая территория площадок обслуживания.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Вся исполнительная документация должна быть передана Подрядчиком Заказчику в срок, указанный в п.3.6. настоящего Технического задания.</w:t>
      </w:r>
      <w:r>
        <w:rPr>
          <w:rFonts w:ascii="Liberation Serif" w:hAnsi="Liberation Serif" w:cs="Liberation Serif"/>
        </w:rPr>
      </w:r>
    </w:p>
    <w:p>
      <w:pPr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708"/>
        <w:jc w:val="both"/>
        <w:spacing w:line="276" w:lineRule="auto"/>
        <w:rPr>
          <w:rFonts w:ascii="Liberation Serif" w:hAnsi="Liberation Serif" w:cs="Liberation Serif"/>
          <w:b/>
        </w:rPr>
      </w:pPr>
      <w:r>
        <w:rPr>
          <w:rFonts w:ascii="Liberation Serif" w:hAnsi="Liberation Serif" w:eastAsia="Liberation Serif" w:cs="Liberation Serif"/>
          <w:b/>
        </w:rPr>
        <w:t xml:space="preserve">3.3. Требования к организации обеспечения работ</w:t>
      </w:r>
      <w:r>
        <w:rPr>
          <w:rFonts w:ascii="Liberation Serif" w:hAnsi="Liberation Serif" w:cs="Liberation Serif"/>
          <w:b/>
        </w:rPr>
      </w:r>
    </w:p>
    <w:p>
      <w:pPr>
        <w:ind w:firstLine="851"/>
        <w:jc w:val="both"/>
        <w:spacing w:line="276" w:lineRule="auto"/>
        <w:rPr>
          <w:rFonts w:ascii="Liberation Serif" w:hAnsi="Liberation Serif" w:cs="Liberation Serif"/>
          <w:b/>
        </w:rPr>
      </w:pPr>
      <w:r>
        <w:rPr>
          <w:rFonts w:ascii="Liberation Serif" w:hAnsi="Liberation Serif" w:eastAsia="Liberation Serif" w:cs="Liberation Serif"/>
        </w:rPr>
        <w:t xml:space="preserve">3.3.1.</w:t>
      </w:r>
      <w:r>
        <w:rPr>
          <w:rFonts w:ascii="Liberation Serif" w:hAnsi="Liberation Serif" w:eastAsia="Liberation Serif" w:cs="Liberation Serif"/>
          <w:b/>
        </w:rPr>
        <w:t xml:space="preserve"> </w:t>
      </w:r>
      <w:r>
        <w:rPr>
          <w:rFonts w:ascii="Liberation Serif" w:hAnsi="Liberation Serif" w:eastAsia="Liberation Serif" w:cs="Liberation Serif"/>
        </w:rPr>
        <w:t xml:space="preserve">Последовательность выполнения работ должна соответствовать технологическому процессу на основании линейного графика, разрабатываемого Подрядчиком. Подрядчик передаёт Заказчику разработанный ППР за 10 дней до начала работ.</w:t>
      </w:r>
      <w:r>
        <w:rPr>
          <w:rFonts w:ascii="Liberation Serif" w:hAnsi="Liberation Serif" w:cs="Liberation Serif"/>
          <w:b/>
        </w:rPr>
      </w:r>
    </w:p>
    <w:p>
      <w:pPr>
        <w:ind w:firstLine="851"/>
        <w:jc w:val="both"/>
        <w:spacing w:line="276" w:lineRule="auto"/>
        <w:rPr>
          <w:rFonts w:ascii="Liberation Serif" w:hAnsi="Liberation Serif" w:cs="Liberation Serif"/>
          <w:b/>
        </w:rPr>
      </w:pPr>
      <w:r>
        <w:rPr>
          <w:rFonts w:ascii="Liberation Serif" w:hAnsi="Liberation Serif" w:eastAsia="Liberation Serif" w:cs="Liberation Serif"/>
        </w:rPr>
        <w:t xml:space="preserve">3.3.2 При невозможности своевременного обеспечения материально-техническими ресурсами разработанного графика выполнения работ</w:t>
      </w:r>
      <w:r>
        <w:rPr>
          <w:rFonts w:ascii="Liberation Serif" w:hAnsi="Liberation Serif" w:eastAsia="Liberation Serif" w:cs="Liberation Serif"/>
        </w:rPr>
        <w:t xml:space="preserve">, Подрядчик совместно с Заказчиком корректируют сроки выполнения работ. Скорректированные сроки не должны выходить за рамки сроков исполнения условий договора. При исключении работ из графика, без замены на иные, стоимость работ Подрядчику не оплачивается.</w:t>
      </w:r>
      <w:r>
        <w:rPr>
          <w:rFonts w:ascii="Liberation Serif" w:hAnsi="Liberation Serif" w:cs="Liberation Serif"/>
          <w:b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  <w:b/>
        </w:rPr>
      </w:pPr>
      <w:r>
        <w:rPr>
          <w:rFonts w:ascii="Liberation Serif" w:hAnsi="Liberation Serif" w:eastAsia="Liberation Serif" w:cs="Liberation Serif"/>
        </w:rPr>
        <w:t xml:space="preserve">3.3.3. До начала выполнения работ Подрядчик должен своими силами поставить к месту производства работ необходимое оборудование и материалы.</w:t>
      </w:r>
      <w:r>
        <w:rPr>
          <w:rFonts w:ascii="Liberation Serif" w:hAnsi="Liberation Serif" w:cs="Liberation Serif"/>
          <w:b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3.3.4. Непосредственно перед началом производства работ Подрядчик обязан выставить необходимые знаки, обеспечивающие круглосуточную безопасность, оградить территорию производства работ.</w:t>
      </w:r>
      <w:r>
        <w:rPr>
          <w:rFonts w:ascii="Liberation Serif" w:hAnsi="Liberation Serif" w:cs="Liberation Serif"/>
        </w:rPr>
      </w:r>
    </w:p>
    <w:p>
      <w:pPr>
        <w:contextualSpacing/>
        <w:ind w:firstLine="709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3.3.5. Подрядчик обязан назначить своего уполномоченного представителя для координации и решения всех вопросов, связанных с</w:t>
      </w:r>
      <w:r>
        <w:rPr>
          <w:rFonts w:ascii="Liberation Serif" w:hAnsi="Liberation Serif" w:eastAsia="Liberation Serif" w:cs="Liberation Serif"/>
        </w:rPr>
        <w:t xml:space="preserve"> выполнением данных работ, подписание документов, а также назначить лиц, ответственных за охрану труда, промышленную и пожарную безопасность, и в письменном виде известить об этом Заказчика с описанием полномочий вышеуказанных лиц и зон их ответственности.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3.3.6. Подрядчик обеспечивает безопасность труда своего персонала в пределах принятого объема работ, согласно требований правил по охране труда.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3.3.7. Обеспечение энергоснабжения работ, подключение механизмов и инструмента обеспечивается Заказчиком, путем подключения в предварительно согласованных стационарных точках.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3.3.8. Хранение бытовых отходов на месте производства работ не допускается.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3.3.9. Подрядчик должен самостоятельно производить сбор, вывоз и утилизацию, в том числе бытовых, отходов, получаемых при проведении им работ.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3.3.10. Подрядчик должен под свою </w:t>
      </w:r>
      <w:r>
        <w:rPr>
          <w:rFonts w:ascii="Liberation Serif" w:hAnsi="Liberation Serif" w:eastAsia="Liberation Serif" w:cs="Liberation Serif"/>
        </w:rPr>
        <w:t xml:space="preserve">ответственность и за свой счет произвести обеспечение работ необходимой технологической оснасткой, средствами механизации, инструментом, грузовым транспортом и прочими устройствами необходимыми для выполнения работ в объеме настоящего технического задания.</w:t>
      </w:r>
      <w:r>
        <w:rPr>
          <w:rFonts w:ascii="Liberation Serif" w:hAnsi="Liberation Serif" w:cs="Liberation Serif"/>
        </w:rPr>
      </w:r>
    </w:p>
    <w:p>
      <w:pPr>
        <w:contextualSpacing/>
        <w:ind w:firstLine="709"/>
        <w:jc w:val="both"/>
        <w:spacing w:after="200"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Подрядчик обязан соблюдать правила внутреннего трудового распорядка, установленные на предприятии. Подрядчик исключает посещение на территории Заказчика зон, не имеющих отношения к в</w:t>
      </w:r>
      <w:r>
        <w:rPr>
          <w:rFonts w:ascii="Liberation Serif" w:hAnsi="Liberation Serif" w:eastAsia="Liberation Serif" w:cs="Liberation Serif"/>
        </w:rPr>
        <w:t xml:space="preserve">ыполнению работ по договору, своим персоналом. Въезд и выезд транспорта с оборудованием и материалами на территорию и с территории Заказчика контролируется персоналом Заказчика. Подрядчик обязан выполнять все требования контролирующего персонала Заказчика.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На весь период выполнения работ, предусмотренных договором, допускается проезд на территори</w:t>
      </w:r>
      <w:r>
        <w:rPr>
          <w:rFonts w:ascii="Liberation Serif" w:hAnsi="Liberation Serif" w:eastAsia="Liberation Serif" w:cs="Liberation Serif"/>
        </w:rPr>
        <w:t xml:space="preserve">ю станции согласованного Заказчиком и Подрядчиком количества автомобилей. В целях согласования данного вопроса Подрядчик передает Заказчику заявку со списком транспортных средств с указанием государственных знаков, а также фамилий, имен, отчеств водителей.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3.3.11 Подрядчик до нач</w:t>
      </w:r>
      <w:r>
        <w:rPr>
          <w:rFonts w:ascii="Liberation Serif" w:hAnsi="Liberation Serif" w:eastAsia="Liberation Serif" w:cs="Liberation Serif"/>
        </w:rPr>
        <w:t xml:space="preserve">ала ремонтных работ обязан ознакомить всех членов производственных бригад с объемом ремонтных работ, сроком ремонта, графиком выполнения ремонтных работ, мероприятиями по безопасности труда, противопожарными мероприятиями, правилами внутреннего распорядка.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При </w:t>
      </w:r>
      <w:r>
        <w:rPr>
          <w:rFonts w:ascii="Liberation Serif" w:hAnsi="Liberation Serif" w:eastAsia="Liberation Serif" w:cs="Liberation Serif"/>
        </w:rPr>
        <w:t xml:space="preserve">исполнении обязательств Подрядчик несет полную ответственность за любую свою деятельность, связанную с воздействием (возможным воздействием) на окружающую среду, в соответствии с природоохранным законодательством Российской Федерации. Соблюдает требования </w:t>
      </w:r>
      <w:r>
        <w:rPr>
          <w:rFonts w:ascii="Liberation Serif" w:hAnsi="Liberation Serif" w:eastAsia="Liberation Serif" w:cs="Liberation Serif"/>
        </w:rPr>
        <w:t xml:space="preserve">законодательства в части охраны атмосферного воздуха, поверхностных и подземных вод, санитарного законодательства и др. природоохранного законодательства.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Подрядчик производит оплату штрафов, налагаемых контролирующими органами за вред, нанесенный своей деятельностью окружающей среде.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Подрядчик выполняет в установленные сроки предписаний (указаний) Заказчика, контролирующих органов о принятии мер по ликвидации ситуаций, возникающих в результате деятельности Подрядчика, ставящих под угрозу экологическую и санитарную обстановку.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Подрядчик несет полную ответственность за соблюдение природоохранного законодательства привлекаемых им субподрядчиков.</w:t>
      </w:r>
      <w:r>
        <w:rPr>
          <w:rFonts w:ascii="Liberation Serif" w:hAnsi="Liberation Serif" w:cs="Liberation Serif"/>
        </w:rPr>
      </w:r>
    </w:p>
    <w:p>
      <w:pPr>
        <w:ind w:firstLine="851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3.3.12. Работники Подрядчика допускаются к работе после проведения: </w:t>
      </w:r>
      <w:r>
        <w:rPr>
          <w:rFonts w:ascii="Liberation Serif" w:hAnsi="Liberation Serif" w:cs="Liberation Serif"/>
        </w:rPr>
      </w:r>
    </w:p>
    <w:p>
      <w:pPr>
        <w:ind w:firstLine="567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-  Обучения и проверки знаний требований охраны труда, в соответствии с порядком обучения по охране труда и проверки знаний требований охраны труда работников организаций, утв. Постановление Правительства РФ и Минобразования РФ от 24.12.2021г. № 2464;</w:t>
      </w:r>
      <w:r>
        <w:rPr>
          <w:rFonts w:ascii="Liberation Serif" w:hAnsi="Liberation Serif" w:cs="Liberation Serif"/>
        </w:rPr>
      </w:r>
    </w:p>
    <w:p>
      <w:pPr>
        <w:ind w:firstLine="567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 Обучени</w:t>
      </w:r>
      <w:r>
        <w:rPr>
          <w:rFonts w:ascii="Liberation Serif" w:hAnsi="Liberation Serif" w:eastAsia="Liberation Serif" w:cs="Liberation Serif"/>
        </w:rPr>
        <w:t xml:space="preserve">я безопасным метода и приемам выполнения работ на высоте, в соответствии с «Правилами по охране труда при работе на высоте», утв. Приказом Министерства труда и социальной защиты РФ от 16.11.2020 N 782н (Зарегистрировано в Минюсте России 15.12.2020 N 61477)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  В соответствии с требованиями п.2.12 РД 34.03.284-96 «Инструкция по организации и производству работ повышенной опасности», перед выполнением работ на территории действующего предприятия лицо, выдающее наряд-допуск, ответственный руководит</w:t>
      </w:r>
      <w:r>
        <w:rPr>
          <w:rFonts w:ascii="Liberation Serif" w:hAnsi="Liberation Serif" w:eastAsia="Liberation Serif" w:cs="Liberation Serif"/>
        </w:rPr>
        <w:t xml:space="preserve">ель работ, ответственный исполнитель работ обязаны изучить разделы законодательных и нормативных актов в части касающейся выполняемых работ, пройти дополнительную проверку знаний по охране труда в комиссии организации при участии представителя предприятия.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Персонал Подрядчика должен соответствовать требованиям статьи 10 Федерального закона № 256-ФЗ от 21.07.2021 «О безопасности объектов топливно-энергетического комплекса».</w:t>
      </w:r>
      <w:r>
        <w:rPr>
          <w:rFonts w:ascii="Liberation Serif" w:hAnsi="Liberation Serif" w:cs="Liberation Serif"/>
        </w:rPr>
      </w:r>
    </w:p>
    <w:p>
      <w:pPr>
        <w:ind w:left="708"/>
        <w:jc w:val="both"/>
        <w:spacing w:line="276" w:lineRule="auto"/>
        <w:rPr>
          <w:rFonts w:ascii="Liberation Serif" w:hAnsi="Liberation Serif" w:cs="Liberation Serif"/>
          <w:b/>
        </w:rPr>
      </w:pPr>
      <w:r>
        <w:rPr>
          <w:rFonts w:ascii="Liberation Serif" w:hAnsi="Liberation Serif" w:eastAsia="Liberation Serif" w:cs="Liberation Serif"/>
          <w:b/>
        </w:rPr>
        <w:t xml:space="preserve">3.4. Требования к применяемым материалам и оборудованию</w:t>
      </w:r>
      <w:r>
        <w:rPr>
          <w:rFonts w:ascii="Liberation Serif" w:hAnsi="Liberation Serif" w:cs="Liberation Serif"/>
          <w:b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  <w:color w:val="000000" w:themeColor="text1"/>
        </w:rPr>
      </w:pPr>
      <w:r>
        <w:rPr>
          <w:rFonts w:ascii="Liberation Serif" w:hAnsi="Liberation Serif" w:eastAsia="Liberation Serif" w:cs="Liberation Serif"/>
          <w:color w:val="000000" w:themeColor="text1"/>
        </w:rPr>
        <w:t xml:space="preserve">3.4.1. Все используемые для выполнения работ </w:t>
      </w:r>
      <w:r>
        <w:rPr>
          <w:rFonts w:ascii="Liberation Serif" w:hAnsi="Liberation Serif" w:eastAsia="Liberation Serif" w:cs="Liberation Serif"/>
          <w:color w:val="000000" w:themeColor="text1"/>
        </w:rPr>
        <w:t xml:space="preserve">материалы и оборудование должны соответствовать нормативно-техническим документам, стандартам, отвечать ГОСТ и ТУ, а также иметь соответствующие сертификаты, технические паспорта, аттестаты и другие документы, предусмотренные действующим законодательством.</w:t>
      </w:r>
      <w:r>
        <w:rPr>
          <w:rFonts w:ascii="Liberation Serif" w:hAnsi="Liberation Serif" w:eastAsia="Liberation Serif" w:cs="Liberation Serif"/>
          <w:color w:val="000000" w:themeColor="text1"/>
          <w:spacing w:val="4"/>
        </w:rPr>
        <w:t xml:space="preserve"> При этом поставляемый товар должен соответствовать требованиям Постановления Правительства Р</w:t>
      </w:r>
      <w:r>
        <w:rPr>
          <w:rFonts w:ascii="Liberation Serif" w:hAnsi="Liberation Serif" w:eastAsia="Liberation Serif" w:cs="Liberation Serif"/>
          <w:color w:val="000000" w:themeColor="text1"/>
          <w:spacing w:val="4"/>
        </w:rPr>
        <w:t xml:space="preserve">оссийской Федерации от 23.12.2024 № 1875 "О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лиц".</w:t>
      </w:r>
      <w:r>
        <w:rPr>
          <w:rFonts w:ascii="Liberation Serif" w:hAnsi="Liberation Serif" w:cs="Liberation Serif"/>
          <w:color w:val="000000" w:themeColor="text1"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  <w:shd w:val="clear" w:color="auto" w:fill="ffffff"/>
        </w:rPr>
        <w:t xml:space="preserve">3.4.2. </w:t>
      </w:r>
      <w:r>
        <w:rPr>
          <w:rStyle w:val="846"/>
          <w:rFonts w:ascii="Liberation Serif" w:hAnsi="Liberation Serif" w:eastAsia="Liberation Serif" w:cs="Liberation Serif"/>
        </w:rPr>
        <w:t xml:space="preserve">Заказчик </w:t>
      </w:r>
      <w:r>
        <w:rPr>
          <w:rFonts w:ascii="Liberation Serif" w:hAnsi="Liberation Serif" w:eastAsia="Liberation Serif" w:cs="Liberation Serif"/>
        </w:rPr>
        <w:t xml:space="preserve">совместно с Подрядчиком осуществляет входной контроль качества применяемых материалов с составлением соответствующей документации.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3.4.3. Применение альтернативных материалов и оборудования согласовываются с Заказчиком, </w:t>
      </w:r>
      <w:r>
        <w:rPr>
          <w:rFonts w:ascii="Liberation Serif" w:hAnsi="Liberation Serif" w:eastAsia="Liberation Serif" w:cs="Liberation Serif"/>
        </w:rPr>
        <w:t xml:space="preserve">для определения целесообразности и определения вида обеспечения МТР.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3.4.4. Материально технические ресурсы, используемые в процессе выполнения работ, предоставляет Подрядчик.</w:t>
      </w:r>
      <w:r>
        <w:rPr>
          <w:rFonts w:ascii="Liberation Serif" w:hAnsi="Liberation Serif" w:cs="Liberation Serif"/>
        </w:rPr>
      </w:r>
    </w:p>
    <w:p>
      <w:pPr>
        <w:jc w:val="both"/>
        <w:spacing w:line="276" w:lineRule="auto"/>
        <w:tabs>
          <w:tab w:val="left" w:pos="567" w:leader="none"/>
          <w:tab w:val="left" w:pos="12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 </w:t>
      </w:r>
      <w:r>
        <w:rPr>
          <w:rFonts w:ascii="Liberation Serif" w:hAnsi="Liberation Serif" w:eastAsia="Liberation Serif" w:cs="Liberation Serif"/>
        </w:rPr>
        <w:tab/>
        <w:t xml:space="preserve"> 3.4.5. Подготовку и хранение МТР необходимо производить за пределами рабочей зоны и доставлять к месту проведения работ подготовительными к применению. </w:t>
      </w:r>
      <w:r>
        <w:rPr>
          <w:rFonts w:ascii="Liberation Serif" w:hAnsi="Liberation Serif" w:cs="Liberation Serif"/>
        </w:rPr>
      </w:r>
    </w:p>
    <w:p>
      <w:pPr>
        <w:jc w:val="both"/>
        <w:spacing w:line="276" w:lineRule="auto"/>
        <w:tabs>
          <w:tab w:val="left" w:pos="567" w:leader="none"/>
          <w:tab w:val="left" w:pos="12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ab/>
        <w:t xml:space="preserve">  3.4.6. Подрядчик отвечает за соответствие качества материалов, применяемых при производстве работ, государственным стандартам и техническим условиям и несет риск убытков, связанных с их ненадлежащим качеством.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3.4.7. Материалы, используемые в процессе выполнения работ должны быть новыми и изготовлены не ранее 2025 года.</w:t>
      </w:r>
      <w:r>
        <w:rPr>
          <w:rFonts w:ascii="Liberation Serif" w:hAnsi="Liberation Serif" w:eastAsia="Liberation Serif" w:cs="Liberation Serif"/>
        </w:rPr>
        <w:tab/>
      </w:r>
      <w:r>
        <w:rPr>
          <w:rFonts w:ascii="Liberation Serif" w:hAnsi="Liberation Serif" w:cs="Liberation Serif"/>
        </w:rPr>
      </w:r>
    </w:p>
    <w:p>
      <w:pPr>
        <w:jc w:val="both"/>
        <w:spacing w:line="276" w:lineRule="auto"/>
        <w:tabs>
          <w:tab w:val="left" w:pos="567" w:leader="none"/>
          <w:tab w:val="left" w:pos="1260" w:leader="none"/>
        </w:tabs>
        <w:rPr>
          <w:rFonts w:ascii="Liberation Serif" w:hAnsi="Liberation Serif" w:eastAsia="Liberation Serif" w:cs="Liberation Serif"/>
        </w:rPr>
      </w:pPr>
      <w:r>
        <w:rPr>
          <w:rFonts w:ascii="Liberation Serif" w:hAnsi="Liberation Serif" w:eastAsia="Liberation Serif" w:cs="Liberation Serif"/>
        </w:rPr>
        <w:tab/>
      </w:r>
      <w:r>
        <w:rPr>
          <w:rFonts w:ascii="Liberation Serif" w:hAnsi="Liberation Serif" w:eastAsia="Liberation Serif" w:cs="Liberation Serif"/>
        </w:rPr>
        <w:tab/>
      </w:r>
      <w:r>
        <w:rPr>
          <w:rFonts w:ascii="Liberation Serif" w:hAnsi="Liberation Serif" w:eastAsia="Liberation Serif" w:cs="Liberation Serif"/>
        </w:rPr>
      </w:r>
    </w:p>
    <w:p>
      <w:pPr>
        <w:jc w:val="both"/>
        <w:spacing w:line="276" w:lineRule="auto"/>
        <w:tabs>
          <w:tab w:val="left" w:pos="567" w:leader="none"/>
          <w:tab w:val="left" w:pos="12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708"/>
        <w:jc w:val="both"/>
        <w:spacing w:line="276" w:lineRule="auto"/>
        <w:rPr>
          <w:rFonts w:ascii="Liberation Serif" w:hAnsi="Liberation Serif" w:cs="Liberation Serif"/>
          <w:b/>
        </w:rPr>
      </w:pPr>
      <w:r>
        <w:rPr>
          <w:rFonts w:ascii="Liberation Serif" w:hAnsi="Liberation Serif" w:eastAsia="Liberation Serif" w:cs="Liberation Serif"/>
          <w:b/>
        </w:rPr>
        <w:t xml:space="preserve">3.5. Требования безопасности</w:t>
      </w:r>
      <w:r>
        <w:rPr>
          <w:rFonts w:ascii="Liberation Serif" w:hAnsi="Liberation Serif" w:cs="Liberation Serif"/>
          <w:b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3.5.1. Подрядчик до начала выполнения работ обязан пройти все необходимые инструктажи по безопасности труда и пожарной безопасности.</w:t>
      </w:r>
      <w:r>
        <w:rPr>
          <w:rFonts w:ascii="Liberation Serif" w:hAnsi="Liberation Serif" w:cs="Liberation Serif"/>
        </w:rPr>
      </w:r>
    </w:p>
    <w:p>
      <w:pPr>
        <w:pStyle w:val="845"/>
        <w:numPr>
          <w:ilvl w:val="2"/>
          <w:numId w:val="1"/>
        </w:numPr>
        <w:ind w:left="0" w:firstLine="709"/>
        <w:jc w:val="both"/>
        <w:spacing w:after="0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Подрядчик обязуется выполнять полный комплекс мер безопасности и обеспечивать персонал, привлеченный на работы по настоящему договору, медицинскими аптечками, укомплектованными в соответствии 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  <w:lang w:eastAsia="ru-RU"/>
        </w:rPr>
        <w:t xml:space="preserve">с Приказом Министерства здравоохранения Российской Федерации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  <w:t xml:space="preserve"> от 24.05.2024 г. № 262н</w:t>
      </w: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, и СИЗ для защиты от воздействия вредных факторов: высокой температуры, высоких уровней шума и вибрации, запыленности, вредных и ядовитых веществ и др.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845"/>
        <w:numPr>
          <w:ilvl w:val="2"/>
          <w:numId w:val="1"/>
        </w:numPr>
        <w:ind w:left="0" w:firstLine="709"/>
        <w:jc w:val="both"/>
        <w:spacing w:after="0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Подрядчик должен незамедлительно сообщать по телефону (либо другим доступным способом), а затем в письменной форме представителю Заказчика обо всех происшествиях (несчастный случай, пожар, взрыв, авария и т.п.).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845"/>
        <w:numPr>
          <w:ilvl w:val="2"/>
          <w:numId w:val="1"/>
        </w:numPr>
        <w:ind w:left="0" w:firstLine="709"/>
        <w:jc w:val="both"/>
        <w:spacing w:after="0"/>
        <w:rPr>
          <w:rStyle w:val="846"/>
          <w:rFonts w:ascii="Liberation Serif" w:hAnsi="Liberation Serif" w:cs="Liberation Serif"/>
          <w:sz w:val="24"/>
          <w:szCs w:val="24"/>
        </w:rPr>
      </w:pPr>
      <w:r>
        <w:rPr>
          <w:rStyle w:val="846"/>
          <w:rFonts w:ascii="Liberation Serif" w:hAnsi="Liberation Serif" w:eastAsia="Liberation Serif" w:cs="Liberation Serif"/>
          <w:sz w:val="24"/>
          <w:szCs w:val="24"/>
        </w:rPr>
        <w:t xml:space="preserve">Персонал Подрядчика во время нахождения на территории Заказчика должен иметь при себе удостоверение о прохождении проверки знаний </w:t>
      </w:r>
      <w:r>
        <w:rPr>
          <w:rStyle w:val="846"/>
          <w:rFonts w:ascii="Liberation Serif" w:hAnsi="Liberation Serif" w:eastAsia="Liberation Serif" w:cs="Liberation Serif"/>
          <w:sz w:val="24"/>
          <w:szCs w:val="24"/>
        </w:rPr>
        <w:t xml:space="preserve">требований нормативных документов по технической эксплуатации, охране труда, пожарной и промышленной безопасности. Право допуска к выполнению поручаемых работ, в соответствии с договором, должно быть подтверждено письмом руководителя подрядной организации.</w:t>
      </w:r>
      <w:r>
        <w:rPr>
          <w:rStyle w:val="846"/>
          <w:rFonts w:ascii="Liberation Serif" w:hAnsi="Liberation Serif" w:cs="Liberation Serif"/>
          <w:sz w:val="24"/>
          <w:szCs w:val="24"/>
        </w:rPr>
      </w:r>
    </w:p>
    <w:p>
      <w:pPr>
        <w:pStyle w:val="845"/>
        <w:numPr>
          <w:ilvl w:val="2"/>
          <w:numId w:val="1"/>
        </w:numPr>
        <w:ind w:left="0" w:firstLine="709"/>
        <w:jc w:val="both"/>
        <w:spacing w:after="0"/>
        <w:tabs>
          <w:tab w:val="left" w:pos="567" w:leader="none"/>
          <w:tab w:val="left" w:pos="1260" w:leader="none"/>
        </w:tabs>
        <w:rPr>
          <w:rStyle w:val="846"/>
          <w:rFonts w:ascii="Liberation Serif" w:hAnsi="Liberation Serif" w:cs="Liberation Serif"/>
          <w:sz w:val="24"/>
          <w:szCs w:val="24"/>
        </w:rPr>
      </w:pPr>
      <w:r>
        <w:rPr>
          <w:rStyle w:val="846"/>
          <w:rFonts w:ascii="Liberation Serif" w:hAnsi="Liberation Serif" w:eastAsia="Liberation Serif" w:cs="Liberation Serif"/>
          <w:sz w:val="24"/>
          <w:szCs w:val="24"/>
        </w:rPr>
        <w:t xml:space="preserve"> Подрядчик несет ответственность за причиненные его персоналом убытки, связанные с конфликтами, нарушением дисциплины, порчи имущества Заказчика.</w:t>
      </w:r>
      <w:r>
        <w:rPr>
          <w:rStyle w:val="846"/>
          <w:rFonts w:ascii="Liberation Serif" w:hAnsi="Liberation Serif" w:cs="Liberation Serif"/>
          <w:sz w:val="24"/>
          <w:szCs w:val="24"/>
        </w:rPr>
      </w:r>
    </w:p>
    <w:p>
      <w:pPr>
        <w:pStyle w:val="845"/>
        <w:numPr>
          <w:ilvl w:val="2"/>
          <w:numId w:val="1"/>
        </w:numPr>
        <w:ind w:left="0" w:firstLine="709"/>
        <w:jc w:val="both"/>
        <w:spacing w:after="0"/>
        <w:tabs>
          <w:tab w:val="left" w:pos="567" w:leader="none"/>
          <w:tab w:val="left" w:pos="1260" w:leader="none"/>
        </w:tabs>
        <w:rPr>
          <w:rStyle w:val="846"/>
          <w:rFonts w:ascii="Liberation Serif" w:hAnsi="Liberation Serif" w:cs="Liberation Serif"/>
          <w:sz w:val="24"/>
          <w:szCs w:val="24"/>
        </w:rPr>
      </w:pPr>
      <w:r>
        <w:rPr>
          <w:rStyle w:val="846"/>
          <w:rFonts w:ascii="Liberation Serif" w:hAnsi="Liberation Serif" w:eastAsia="Liberation Serif" w:cs="Liberation Serif"/>
          <w:sz w:val="24"/>
          <w:szCs w:val="24"/>
        </w:rPr>
        <w:t xml:space="preserve">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  <w:r>
        <w:rPr>
          <w:rStyle w:val="846"/>
          <w:rFonts w:ascii="Liberation Serif" w:hAnsi="Liberation Serif" w:cs="Liberation Serif"/>
          <w:sz w:val="24"/>
          <w:szCs w:val="24"/>
        </w:rPr>
      </w:r>
    </w:p>
    <w:p>
      <w:pPr>
        <w:jc w:val="both"/>
        <w:spacing w:line="276" w:lineRule="auto"/>
        <w:tabs>
          <w:tab w:val="left" w:pos="567" w:leader="none"/>
          <w:tab w:val="left" w:pos="12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ab/>
        <w:t xml:space="preserve"> 3.5.7. Подрядчик обязан обеспечить содержание и уборку рабочих мест, на которых выполняются демонтажные работы.</w:t>
      </w:r>
      <w:r>
        <w:rPr>
          <w:rFonts w:ascii="Liberation Serif" w:hAnsi="Liberation Serif" w:cs="Liberation Serif"/>
        </w:rPr>
      </w:r>
    </w:p>
    <w:p>
      <w:pPr>
        <w:jc w:val="both"/>
        <w:spacing w:line="276" w:lineRule="auto"/>
        <w:tabs>
          <w:tab w:val="left" w:pos="567" w:leader="none"/>
          <w:tab w:val="left" w:pos="12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ab/>
        <w:t xml:space="preserve"> 3.5.8. 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  <w:r>
        <w:rPr>
          <w:rFonts w:ascii="Liberation Serif" w:hAnsi="Liberation Serif" w:cs="Liberation Serif"/>
        </w:rPr>
      </w:r>
    </w:p>
    <w:p>
      <w:pPr>
        <w:jc w:val="both"/>
        <w:spacing w:line="276" w:lineRule="auto"/>
        <w:tabs>
          <w:tab w:val="left" w:pos="567" w:leader="none"/>
          <w:tab w:val="left" w:pos="12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ab/>
        <w:t xml:space="preserve"> 3.5.9. Работы, при проведении которых возможно повреждение оборудования Заказчика или нанесения вреда здоровью персонала, должны производиться по ППР, согласованному с Заказчиком. </w:t>
      </w:r>
      <w:r>
        <w:rPr>
          <w:rFonts w:ascii="Liberation Serif" w:hAnsi="Liberation Serif" w:cs="Liberation Serif"/>
        </w:rPr>
      </w:r>
    </w:p>
    <w:p>
      <w:pPr>
        <w:jc w:val="both"/>
        <w:spacing w:line="276" w:lineRule="auto"/>
        <w:tabs>
          <w:tab w:val="left" w:pos="567" w:leader="none"/>
          <w:tab w:val="left" w:pos="12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          3.5.10. Персонал, участвующий в производстве работ, должен обладать знаниями пожарно-технического минимума и оказания первой (доврачебной) помощи.</w:t>
      </w:r>
      <w:r>
        <w:rPr>
          <w:rFonts w:ascii="Liberation Serif" w:hAnsi="Liberation Serif" w:cs="Liberation Serif"/>
        </w:rPr>
      </w:r>
    </w:p>
    <w:p>
      <w:pPr>
        <w:jc w:val="both"/>
        <w:spacing w:line="276" w:lineRule="auto"/>
        <w:tabs>
          <w:tab w:val="left" w:pos="567" w:leader="none"/>
          <w:tab w:val="left" w:pos="12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1134" w:hanging="426"/>
        <w:jc w:val="both"/>
        <w:spacing w:line="276" w:lineRule="auto"/>
        <w:rPr>
          <w:rFonts w:ascii="Liberation Serif" w:hAnsi="Liberation Serif" w:cs="Liberation Serif"/>
          <w:b/>
        </w:rPr>
      </w:pPr>
      <w:r>
        <w:rPr>
          <w:rFonts w:ascii="Liberation Serif" w:hAnsi="Liberation Serif" w:eastAsia="Liberation Serif" w:cs="Liberation Serif"/>
          <w:b/>
        </w:rPr>
        <w:t xml:space="preserve">3.6. Требования к порядку подготовки и передачи заказчику документов при проведении работ и их завершении </w:t>
      </w:r>
      <w:r>
        <w:rPr>
          <w:rFonts w:ascii="Liberation Serif" w:hAnsi="Liberation Serif" w:cs="Liberation Serif"/>
          <w:b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Подрядчик предоставляет Заказчику отчетную документацию, оформленную согласно требованиям, действующих НТД: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3.6.1. Копии лицензии всех организаций участвующих в производстве работ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3.6.2. Копии удостоверений лиц ответственных за качество выполненных работ.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3.6.3. Копии приказов о назначении ответственных производителей работ.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tabs>
          <w:tab w:val="left" w:pos="567" w:leader="none"/>
          <w:tab w:val="left" w:pos="12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  <w:iCs/>
        </w:rPr>
        <w:t xml:space="preserve">3.6.4. С</w:t>
      </w:r>
      <w:r>
        <w:rPr>
          <w:rFonts w:ascii="Liberation Serif" w:hAnsi="Liberation Serif" w:eastAsia="Liberation Serif" w:cs="Liberation Serif"/>
        </w:rPr>
        <w:t xml:space="preserve">пециальные журналы работ.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tabs>
          <w:tab w:val="left" w:pos="567" w:leader="none"/>
          <w:tab w:val="left" w:pos="1260" w:leader="none"/>
        </w:tabs>
        <w:rPr>
          <w:rFonts w:ascii="Liberation Serif" w:hAnsi="Liberation Serif" w:cs="Liberation Serif"/>
          <w:iCs/>
        </w:rPr>
      </w:pPr>
      <w:r>
        <w:rPr>
          <w:rFonts w:ascii="Liberation Serif" w:hAnsi="Liberation Serif" w:eastAsia="Liberation Serif" w:cs="Liberation Serif"/>
          <w:iCs/>
        </w:rPr>
        <w:t xml:space="preserve">3.6.5. Акты выполненных работ, ведомости объемов выполненных работ, технические решения, и др. документы по требованию Заказчика.</w:t>
      </w:r>
      <w:r>
        <w:rPr>
          <w:rFonts w:ascii="Liberation Serif" w:hAnsi="Liberation Serif" w:cs="Liberation Serif"/>
          <w:iCs/>
        </w:rPr>
      </w:r>
    </w:p>
    <w:p>
      <w:pPr>
        <w:ind w:firstLine="709"/>
        <w:jc w:val="both"/>
        <w:spacing w:line="276" w:lineRule="auto"/>
        <w:tabs>
          <w:tab w:val="left" w:pos="567" w:leader="none"/>
          <w:tab w:val="left" w:pos="1260" w:leader="none"/>
        </w:tabs>
        <w:rPr>
          <w:rFonts w:ascii="Liberation Serif" w:hAnsi="Liberation Serif" w:cs="Liberation Serif"/>
          <w:iCs/>
        </w:rPr>
      </w:pPr>
      <w:r>
        <w:rPr>
          <w:rFonts w:ascii="Liberation Serif" w:hAnsi="Liberation Serif" w:eastAsia="Liberation Serif" w:cs="Liberation Serif"/>
        </w:rPr>
        <w:t xml:space="preserve">3.6.6.</w:t>
      </w:r>
      <w:r>
        <w:rPr>
          <w:rFonts w:ascii="Liberation Serif" w:hAnsi="Liberation Serif" w:eastAsia="Liberation Serif" w:cs="Liberation Serif"/>
          <w:iCs/>
        </w:rPr>
        <w:t xml:space="preserve"> До начала работ Подрядчик совместно с Заказчиком проверяет на соответствие документы, удостоверяющие качество используемых материалов, конструкций, изделий и оборудования (сертификаты о пожарной без</w:t>
      </w:r>
      <w:r>
        <w:rPr>
          <w:rFonts w:ascii="Liberation Serif" w:hAnsi="Liberation Serif" w:eastAsia="Liberation Serif" w:cs="Liberation Serif"/>
          <w:iCs/>
        </w:rPr>
        <w:t xml:space="preserve">опасности, сертификаты качества, паспорта, протоколы испытаний), техническую документацию предприятий-изготовителей (гарантийные талоны, инструкции, руководство по эксплуатации, информационные листы, свидетельство о поверке штатных измерительных приборов).</w:t>
      </w:r>
      <w:r>
        <w:rPr>
          <w:rFonts w:ascii="Liberation Serif" w:hAnsi="Liberation Serif" w:cs="Liberation Serif"/>
          <w:iCs/>
        </w:rPr>
      </w:r>
    </w:p>
    <w:p>
      <w:pPr>
        <w:ind w:firstLine="709"/>
        <w:jc w:val="both"/>
        <w:spacing w:line="276" w:lineRule="auto"/>
        <w:tabs>
          <w:tab w:val="left" w:pos="567" w:leader="none"/>
          <w:tab w:val="left" w:pos="1260" w:leader="none"/>
        </w:tabs>
        <w:rPr>
          <w:rFonts w:ascii="Liberation Serif" w:hAnsi="Liberation Serif" w:cs="Liberation Serif"/>
          <w:iCs/>
        </w:rPr>
      </w:pPr>
      <w:r>
        <w:rPr>
          <w:rFonts w:ascii="Liberation Serif" w:hAnsi="Liberation Serif" w:eastAsia="Liberation Serif" w:cs="Liberation Serif"/>
          <w:iCs/>
        </w:rPr>
        <w:t xml:space="preserve">3.6.7. В случае выявления в процессе производства строительно-монтажных и специальных работ дополнительных объемов, не учтенных сметой к договору, Подрядная организация с участием </w:t>
      </w:r>
      <w:r>
        <w:rPr>
          <w:rFonts w:ascii="Liberation Serif" w:hAnsi="Liberation Serif" w:eastAsia="Liberation Serif" w:cs="Liberation Serif"/>
          <w:iCs/>
        </w:rPr>
        <w:t xml:space="preserve">представителей Заказч</w:t>
      </w:r>
      <w:r>
        <w:rPr>
          <w:rFonts w:ascii="Liberation Serif" w:hAnsi="Liberation Serif" w:eastAsia="Liberation Serif" w:cs="Liberation Serif"/>
          <w:iCs/>
        </w:rPr>
        <w:t xml:space="preserve">ика составляет акт с указанием дополнительных объемов работ и обоснованием необходимости их выполнения, и последующим составлением ведомостей исключаемых и дополнительных работ для формирования исполнительной сметы и оформлением дополнительного соглашения.</w:t>
      </w:r>
      <w:r>
        <w:rPr>
          <w:rFonts w:ascii="Liberation Serif" w:hAnsi="Liberation Serif" w:cs="Liberation Serif"/>
          <w:iCs/>
        </w:rPr>
      </w:r>
    </w:p>
    <w:p>
      <w:pPr>
        <w:ind w:firstLine="709"/>
        <w:jc w:val="both"/>
        <w:spacing w:line="276" w:lineRule="auto"/>
        <w:tabs>
          <w:tab w:val="left" w:pos="567" w:leader="none"/>
          <w:tab w:val="left" w:pos="1260" w:leader="none"/>
        </w:tabs>
        <w:rPr>
          <w:rFonts w:ascii="Liberation Serif" w:hAnsi="Liberation Serif" w:cs="Liberation Serif"/>
          <w:highlight w:val="yellow"/>
        </w:rPr>
      </w:pPr>
      <w:r>
        <w:rPr>
          <w:rFonts w:ascii="Liberation Serif" w:hAnsi="Liberation Serif" w:eastAsia="Liberation Serif" w:cs="Liberation Serif"/>
        </w:rPr>
        <w:t xml:space="preserve">3.6.8. Не позднее, чем за 2 (два) календарных дня до окончания отчётного периода или фактического окончания выполнения работ, включенных в </w:t>
      </w:r>
      <w:r>
        <w:rPr>
          <w:rFonts w:ascii="Liberation Serif" w:hAnsi="Liberation Serif" w:eastAsia="Liberation Serif" w:cs="Liberation Serif"/>
          <w:u w:val="single"/>
        </w:rPr>
        <w:t xml:space="preserve">п. 1</w:t>
      </w:r>
      <w:r>
        <w:rPr>
          <w:rFonts w:ascii="Liberation Serif" w:hAnsi="Liberation Serif" w:eastAsia="Liberation Serif" w:cs="Liberation Serif"/>
        </w:rPr>
        <w:t xml:space="preserve"> текущего Технического задания в</w:t>
      </w:r>
      <w:r>
        <w:rPr>
          <w:rFonts w:ascii="Liberation Serif" w:hAnsi="Liberation Serif" w:eastAsia="Liberation Serif" w:cs="Liberation Serif"/>
        </w:rPr>
        <w:t xml:space="preserve"> отдельности, Подрядчик обязан передать Заказчику техническую документацию, подготовленную в процессе выполнения работ в соответствие с «Правилами организации технического обслуживания и ремонта объектов электроэнергетики», утвержденными приказом Минэнерго</w:t>
      </w:r>
      <w:r>
        <w:rPr>
          <w:rFonts w:ascii="Liberation Serif" w:hAnsi="Liberation Serif" w:eastAsia="Liberation Serif" w:cs="Liberation Serif"/>
          <w:highlight w:val="white"/>
        </w:rPr>
        <w:t xml:space="preserve"> России от 25.10.2017 г. № 1013 (в редакции Приказа Минэнерго РФ от 19 декабря 2023 г. № 1180), включая:</w:t>
      </w:r>
      <w:r>
        <w:rPr>
          <w:rFonts w:ascii="Liberation Serif" w:hAnsi="Liberation Serif" w:cs="Liberation Serif"/>
          <w:highlight w:val="yellow"/>
        </w:rPr>
      </w:r>
    </w:p>
    <w:p>
      <w:pPr>
        <w:ind w:firstLine="709"/>
        <w:jc w:val="both"/>
        <w:spacing w:line="276" w:lineRule="auto"/>
        <w:tabs>
          <w:tab w:val="left" w:pos="567" w:leader="none"/>
          <w:tab w:val="left" w:pos="12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- акт дефектации;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tabs>
          <w:tab w:val="left" w:pos="567" w:leader="none"/>
          <w:tab w:val="left" w:pos="12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- акт приемки из ремонта;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tabs>
          <w:tab w:val="left" w:pos="567" w:leader="none"/>
          <w:tab w:val="left" w:pos="12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- акты выполненных работ;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tabs>
          <w:tab w:val="left" w:pos="567" w:leader="none"/>
          <w:tab w:val="left" w:pos="12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- ведомость планируемых ремонтно-строительных работ;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tabs>
          <w:tab w:val="left" w:pos="567" w:leader="none"/>
          <w:tab w:val="left" w:pos="12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- ведомость объемов выполненных работ;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tabs>
          <w:tab w:val="left" w:pos="567" w:leader="none"/>
          <w:tab w:val="left" w:pos="12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- протокол исключения работ из ведомости планируемых работ (по потребности);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tabs>
          <w:tab w:val="left" w:pos="567" w:leader="none"/>
          <w:tab w:val="left" w:pos="12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- ведомость дополнительных работ (по потребности);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tabs>
          <w:tab w:val="left" w:pos="567" w:leader="none"/>
          <w:tab w:val="left" w:pos="12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- технические решения (по потребности);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tabs>
          <w:tab w:val="left" w:pos="567" w:leader="none"/>
          <w:tab w:val="left" w:pos="12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- акты скрытых работ, с фотографиями в электронном и печатном виде </w:t>
      </w:r>
      <w:r>
        <w:rPr>
          <w:rFonts w:ascii="Liberation Serif" w:hAnsi="Liberation Serif" w:eastAsia="Liberation Serif" w:cs="Liberation Serif"/>
          <w:i/>
        </w:rPr>
        <w:t xml:space="preserve">(Освидетельствование скрытых работ комиссией осуществляется только в рабочие дни, освидетельствование скрытых работ в выходные дни производится по факту согласования Заказчиком письменного обращения Подрядчика о необходимости данного действия)</w:t>
      </w:r>
      <w:r>
        <w:rPr>
          <w:rFonts w:ascii="Liberation Serif" w:hAnsi="Liberation Serif" w:eastAsia="Liberation Serif" w:cs="Liberation Serif"/>
        </w:rPr>
        <w:t xml:space="preserve"> и др. документы по требованию заказчика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tabs>
          <w:tab w:val="left" w:pos="567" w:leader="none"/>
          <w:tab w:val="left" w:pos="12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- общий журнал работ по форме КС-6;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tabs>
          <w:tab w:val="left" w:pos="567" w:leader="none"/>
          <w:tab w:val="left" w:pos="12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- акты освидетельствования выполненных работ;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tabs>
          <w:tab w:val="left" w:pos="567" w:leader="none"/>
          <w:tab w:val="left" w:pos="12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- результаты входного контроля, сертификаты на использованные в процессе ремонта материалы и запасные части;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tabs>
          <w:tab w:val="left" w:pos="567" w:leader="none"/>
          <w:tab w:val="left" w:pos="12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- иные документы, обеспечивающие выполнение требований нормативно-технической документации, распространяющиеся на производимую деятельность, а также документы, требуемые Заказчиком к исполнению.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tabs>
          <w:tab w:val="left" w:pos="567" w:leader="none"/>
          <w:tab w:val="left" w:pos="12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tabs>
          <w:tab w:val="left" w:pos="567" w:leader="none"/>
          <w:tab w:val="left" w:pos="12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Не предоставление требуемой документации в порядке и сроки, указанные в текущем пункте технического задания, является основанием непринятия выполненных работ. 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tabs>
          <w:tab w:val="left" w:pos="567" w:leader="none"/>
          <w:tab w:val="left" w:pos="12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3.6.9. В случае выявления, до начала и в процессе производства строительно-монтажных и специальных работ дополнительных объемов, не учтенных сметой к договору, Подрядная организация с участием представителей Заказчи</w:t>
      </w:r>
      <w:r>
        <w:rPr>
          <w:rFonts w:ascii="Liberation Serif" w:hAnsi="Liberation Serif" w:eastAsia="Liberation Serif" w:cs="Liberation Serif"/>
        </w:rPr>
        <w:t xml:space="preserve">ка составляет акт с указанием дополнительных объемов работ и обоснованием необходимости их выполнения, и последующим составлением ведомостей исключаемых и дополнительных работ для формирования исполнительной сметы, и оформлением дополнительного соглашения.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tabs>
          <w:tab w:val="left" w:pos="567" w:leader="none"/>
          <w:tab w:val="left" w:pos="12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3.6.10. Закрытие актов КС-2 с материалами, приобретаемыми по коммерческим ценам, производить по фактической стоимости МТР (на основании предъявляемых счетов-фактур), но не выше стоимости указанной в договоре.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tabs>
          <w:tab w:val="left" w:pos="567" w:leader="none"/>
          <w:tab w:val="left" w:pos="12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3.6.11. Все материалы и оборудование, приобретаемые Подрядной организаци</w:t>
      </w:r>
      <w:r>
        <w:rPr>
          <w:rFonts w:ascii="Liberation Serif" w:hAnsi="Liberation Serif" w:eastAsia="Liberation Serif" w:cs="Liberation Serif"/>
        </w:rPr>
        <w:t xml:space="preserve">ей по коммерческим ценам и включаемые в акты приемки выполненных работ (КС-2) должны быть подтверждены счетами-фактурами и товарно-транспортными накладными (товарными накладными), с обязательным указанием номера, даты, наименованием организации поставщика.</w:t>
      </w:r>
      <w:r>
        <w:rPr>
          <w:rFonts w:ascii="Liberation Serif" w:hAnsi="Liberation Serif" w:cs="Liberation Serif"/>
        </w:rPr>
      </w:r>
    </w:p>
    <w:p>
      <w:pPr>
        <w:contextualSpacing/>
        <w:ind w:firstLine="709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  <w:iCs/>
        </w:rPr>
        <w:t xml:space="preserve">3.6.12. </w:t>
      </w:r>
      <w:r>
        <w:rPr>
          <w:rFonts w:ascii="Liberation Serif" w:hAnsi="Liberation Serif" w:eastAsia="Liberation Serif" w:cs="Liberation Serif"/>
        </w:rPr>
        <w:t xml:space="preserve">Порядок приемки результатов работ:</w:t>
      </w:r>
      <w:r>
        <w:rPr>
          <w:rFonts w:ascii="Liberation Serif" w:hAnsi="Liberation Serif" w:cs="Liberation Serif"/>
        </w:rPr>
      </w:r>
    </w:p>
    <w:p>
      <w:pPr>
        <w:contextualSpacing/>
        <w:ind w:firstLine="709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3.6.12.1. Подрядчик до 12:00 часов по московскому времени дня следующего за днем окончания выполнения работ направляет Заказчику посредством факсимильной/электронной связи по номеру </w:t>
      </w:r>
      <w:r>
        <w:rPr>
          <w:rFonts w:ascii="Liberation Serif" w:hAnsi="Liberation Serif" w:eastAsia="Liberation Serif" w:cs="Liberation Serif"/>
        </w:rPr>
        <w:t xml:space="preserve">факса (382-2) 43-26-47/адресу электронной почты </w:t>
      </w:r>
      <w:hyperlink r:id="rId10" w:tooltip="mailto:urtamov_da@interrao.ru" w:history="1">
        <w:r>
          <w:rPr>
            <w:rStyle w:val="860"/>
            <w:rFonts w:ascii="Liberation Serif" w:hAnsi="Liberation Serif" w:cs="Liberation Serif" w:eastAsiaTheme="majorEastAsia"/>
            <w:sz w:val="24"/>
            <w:szCs w:val="24"/>
          </w:rPr>
          <w:t xml:space="preserve">urtamov_da@interrao.ru</w:t>
        </w:r>
      </w:hyperlink>
      <w:r>
        <w:rPr>
          <w:rFonts w:ascii="Liberation Serif" w:hAnsi="Liberation Serif" w:eastAsia="Liberation Serif" w:cs="Liberation Serif"/>
        </w:rPr>
        <w:t xml:space="preserve"> Заказчика, копии документов, подтверждающих факт выполнения работ, а именно: акт о приемке выполненных работ и счета-фактуры; </w:t>
      </w:r>
      <w:r>
        <w:rPr>
          <w:rFonts w:ascii="Liberation Serif" w:hAnsi="Liberation Serif" w:cs="Liberation Serif"/>
        </w:rPr>
      </w:r>
    </w:p>
    <w:p>
      <w:pPr>
        <w:contextualSpacing/>
        <w:ind w:firstLine="709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3.6.12.2.  При непредставлении Подрядчиком копий документов, подтверждающих факт выполнения работ, в порядке и сроки, указанные в предыдущем пункте технического задания, Заказчик незаме</w:t>
      </w:r>
      <w:r>
        <w:rPr>
          <w:rFonts w:ascii="Liberation Serif" w:hAnsi="Liberation Serif" w:eastAsia="Liberation Serif" w:cs="Liberation Serif"/>
        </w:rPr>
        <w:t xml:space="preserve">длительно уведомляет об этом Подрядчика. Подрядчик обязан в течение 1 (одного) календарного дня со дня получения такого уведомления предоставить Заказчику посредством факсимильной/электронной связи по номеру факса (382-2) 43-26-47/адресу электронной почты </w:t>
      </w:r>
      <w:hyperlink r:id="rId11" w:tooltip="mailto:urtamov_da@interrao.ru" w:history="1">
        <w:r>
          <w:rPr>
            <w:rStyle w:val="860"/>
            <w:rFonts w:ascii="Liberation Serif" w:hAnsi="Liberation Serif" w:cs="Liberation Serif" w:eastAsiaTheme="majorEastAsia"/>
            <w:sz w:val="24"/>
            <w:szCs w:val="24"/>
          </w:rPr>
          <w:t xml:space="preserve">urtamov_da@interrao.ru</w:t>
        </w:r>
      </w:hyperlink>
      <w:r>
        <w:rPr>
          <w:rFonts w:ascii="Liberation Serif" w:hAnsi="Liberation Serif" w:eastAsia="Liberation Serif" w:cs="Liberation Serif"/>
        </w:rPr>
        <w:t xml:space="preserve"> Заказчика, копии документов, подтверждающих факт выполнения работ;</w:t>
      </w:r>
      <w:r>
        <w:rPr>
          <w:rFonts w:ascii="Liberation Serif" w:hAnsi="Liberation Serif" w:cs="Liberation Serif"/>
        </w:rPr>
      </w:r>
    </w:p>
    <w:p>
      <w:pPr>
        <w:contextualSpacing/>
        <w:ind w:firstLine="709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3.6.12.3.В течение 2 (двух) календарных дней со дня получения от Подрядчик</w:t>
      </w:r>
      <w:r>
        <w:rPr>
          <w:rFonts w:ascii="Liberation Serif" w:hAnsi="Liberation Serif" w:eastAsia="Liberation Serif" w:cs="Liberation Serif"/>
        </w:rPr>
        <w:t xml:space="preserve">а копий документов, подтверждающих факт выполнения работ, Заказчик уведомляет Подрядчика об ошибках, неточностях в представленных документах. В указанном уведомлении Заказчик указывает способ устранения ошибок, неточностей в представленных документах. Подр</w:t>
      </w:r>
      <w:r>
        <w:rPr>
          <w:rFonts w:ascii="Liberation Serif" w:hAnsi="Liberation Serif" w:eastAsia="Liberation Serif" w:cs="Liberation Serif"/>
        </w:rPr>
        <w:t xml:space="preserve">ядчик обязан в течение 2 (двух) календарных дней с момента получения данного уведомления устраняет ошибки, неточности в документах и представить Заказчику посредством факсимильной/электронной связи по номеру факса (382-2) 43-26-47/адресу электронной почты </w:t>
      </w:r>
      <w:hyperlink r:id="rId12" w:tooltip="mailto:urtamov_da@interrao.ru" w:history="1">
        <w:r>
          <w:rPr>
            <w:rStyle w:val="860"/>
            <w:rFonts w:ascii="Liberation Serif" w:hAnsi="Liberation Serif" w:cs="Liberation Serif" w:eastAsiaTheme="majorEastAsia"/>
            <w:sz w:val="24"/>
            <w:szCs w:val="24"/>
          </w:rPr>
          <w:t xml:space="preserve">urtamov_da@interrao.ru</w:t>
        </w:r>
      </w:hyperlink>
      <w:r>
        <w:rPr>
          <w:rFonts w:ascii="Liberation Serif" w:hAnsi="Liberation Serif" w:eastAsia="Liberation Serif" w:cs="Liberation Serif"/>
        </w:rPr>
        <w:t xml:space="preserve"> Заказчика копии исправленных документов;</w:t>
      </w:r>
      <w:r>
        <w:rPr>
          <w:rFonts w:ascii="Liberation Serif" w:hAnsi="Liberation Serif" w:cs="Liberation Serif"/>
        </w:rPr>
      </w:r>
    </w:p>
    <w:p>
      <w:pPr>
        <w:contextualSpacing/>
        <w:ind w:firstLine="709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3.6.12.4. Оригиналы </w:t>
      </w:r>
      <w:r>
        <w:rPr>
          <w:rFonts w:ascii="Liberation Serif" w:hAnsi="Liberation Serif" w:eastAsia="Liberation Serif" w:cs="Liberation Serif"/>
        </w:rPr>
        <w:t xml:space="preserve">документов, подтверждающих факт выполнения работ, подлежат направлению в адрес Заказчика не позднее 5 (пяти) календарных дней со дня окончания выполнения работ, но в любом случае до 2 (второго) числа месяца следующего за месяцем окончания выполнения работ.</w:t>
      </w:r>
      <w:r>
        <w:rPr>
          <w:rFonts w:ascii="Liberation Serif" w:hAnsi="Liberation Serif" w:cs="Liberation Serif"/>
        </w:rPr>
      </w:r>
    </w:p>
    <w:p>
      <w:pPr>
        <w:contextualSpacing/>
        <w:ind w:firstLine="709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3.6.13. Приемку выполненных работ осуществляет технический надзор Заказчика.</w:t>
      </w:r>
      <w:r>
        <w:rPr>
          <w:rFonts w:ascii="Liberation Serif" w:hAnsi="Liberation Serif" w:cs="Liberation Serif"/>
        </w:rPr>
      </w:r>
    </w:p>
    <w:p>
      <w:pPr>
        <w:ind w:left="709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3.6.14. Проведение государственной экспертизы итоговой документации не требуется.</w:t>
      </w:r>
      <w:r>
        <w:rPr>
          <w:rFonts w:ascii="Liberation Serif" w:hAnsi="Liberation Serif" w:cs="Liberation Serif"/>
        </w:rPr>
      </w:r>
    </w:p>
    <w:p>
      <w:pPr>
        <w:pStyle w:val="845"/>
        <w:ind w:left="1418" w:hanging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3.6.15. Согласование порядка ведения работ и технической документации в надзорных органах не требуется.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  <w:b/>
        </w:rPr>
      </w:pPr>
      <w:r>
        <w:rPr>
          <w:rFonts w:ascii="Liberation Serif" w:hAnsi="Liberation Serif" w:eastAsia="Liberation Serif" w:cs="Liberation Serif"/>
          <w:b/>
        </w:rPr>
        <w:t xml:space="preserve">3.7. Требования к гарантийным обязательствам</w:t>
      </w:r>
      <w:r>
        <w:rPr>
          <w:rFonts w:ascii="Liberation Serif" w:hAnsi="Liberation Serif" w:cs="Liberation Serif"/>
          <w:b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3.7.1. Гарантийные обязательства Подрядчика устанавливаются с момента подписания представителями сторон акта сдачи - приемки результатов выполненных работ и составляют не менее 24 месяцев. </w:t>
      </w:r>
      <w:r>
        <w:rPr>
          <w:rFonts w:ascii="Liberation Serif" w:hAnsi="Liberation Serif" w:cs="Liberation Serif"/>
        </w:rPr>
      </w:r>
    </w:p>
    <w:p>
      <w:pPr>
        <w:pStyle w:val="849"/>
        <w:ind w:firstLine="708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3.7.2. В с</w:t>
      </w:r>
      <w:r>
        <w:rPr>
          <w:rFonts w:ascii="Liberation Serif" w:hAnsi="Liberation Serif" w:eastAsia="Liberation Serif" w:cs="Liberation Serif"/>
        </w:rPr>
        <w:t xml:space="preserve">лучае обнаружения дефектов в течение гарантийного срока Подрядчик обязан в течение 3-х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повреждения.</w:t>
      </w:r>
      <w:r>
        <w:rPr>
          <w:rFonts w:ascii="Liberation Serif" w:hAnsi="Liberation Serif" w:cs="Liberation Serif"/>
        </w:rPr>
      </w:r>
    </w:p>
    <w:p>
      <w:pPr>
        <w:pStyle w:val="849"/>
        <w:ind w:firstLine="708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3.7.3. В течение гарантийного срока Подрядчик устраняет все выявленные дефекты за свой счет. </w:t>
      </w:r>
      <w:r>
        <w:rPr>
          <w:rFonts w:ascii="Liberation Serif" w:hAnsi="Liberation Serif" w:cs="Liberation Serif"/>
        </w:rPr>
      </w:r>
    </w:p>
    <w:p>
      <w:pPr>
        <w:ind w:left="708"/>
        <w:jc w:val="both"/>
        <w:spacing w:line="276" w:lineRule="auto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left="708"/>
        <w:jc w:val="both"/>
        <w:spacing w:line="276" w:lineRule="auto"/>
        <w:rPr>
          <w:rFonts w:ascii="Liberation Serif" w:hAnsi="Liberation Serif" w:cs="Liberation Serif"/>
          <w:b/>
        </w:rPr>
      </w:pPr>
      <w:r>
        <w:rPr>
          <w:rFonts w:ascii="Liberation Serif" w:hAnsi="Liberation Serif" w:eastAsia="Liberation Serif" w:cs="Liberation Serif"/>
          <w:b/>
        </w:rPr>
        <w:t xml:space="preserve">3.8. Ответственность Подрядчика </w:t>
      </w:r>
      <w:r>
        <w:rPr>
          <w:rFonts w:ascii="Liberation Serif" w:hAnsi="Liberation Serif" w:cs="Liberation Serif"/>
          <w:b/>
        </w:rPr>
      </w:r>
    </w:p>
    <w:p>
      <w:pPr>
        <w:ind w:firstLine="709"/>
        <w:jc w:val="both"/>
        <w:spacing w:line="276" w:lineRule="auto"/>
        <w:tabs>
          <w:tab w:val="left" w:pos="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3.8.1. За нарушения условий ТЗ, повлекшие ухудшение результата выполненных работ, Заказчик вправе потребовать от подрядчика безвозмездного устранения дефектов и недостатков в сроки, установленные Заказчиком либо соразмерного уменьшения стоимости работ.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tabs>
          <w:tab w:val="left" w:pos="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3.8.2. Подрядчик отвечает за соответствие качества материалов, применяемых при производстве работ, государственным стандартам и техническим условиям и несет риск убытков, связанных с их ненадлежащим качеством.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tabs>
          <w:tab w:val="left" w:pos="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3.8.3. Подрядчик несет ответственность за ущерб, причиненный в ходе работы людям, зданиям, оборудованию, за соблюдение требований охраны труда, пожарной и промышленной безопасности в процессе производства работ. 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tabs>
          <w:tab w:val="left" w:pos="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3.8.4. Подрядчик несет ответственность за убытки, понесенные Заказчиком вследствие простоя производства (оборудования) по причине неисполнения либо ненадлежащего исполнения Подрядчиком своих обязательств по-настоящему ТЗ.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tabs>
          <w:tab w:val="left" w:pos="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3.8.5. Подрядчик, не предупредивший Заказчика о необходимости выполнения дополнительных работ, не учтенных в ТЗ, которые могут повлиять на работоспособность оборудования, а также об иных обстоятельствах, которые грозят годн</w:t>
      </w:r>
      <w:r>
        <w:rPr>
          <w:rFonts w:ascii="Liberation Serif" w:hAnsi="Liberation Serif" w:eastAsia="Liberation Serif" w:cs="Liberation Serif"/>
        </w:rPr>
        <w:t xml:space="preserve">ости или прочности результатов выполняемой работы либо создают невозможность её завершения в срок, либо продолживший работу, несмотря на своевременное указание Заказчика о прекращении работы, обязан возместить в полном объеме убытки, причинённые Заказчику.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tabs>
          <w:tab w:val="left" w:pos="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3.8.6. Уплата неустойки и возмещение убытков не освобождает Подрядчика от исполнения работ по договору и устранения нарушений.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tabs>
          <w:tab w:val="left" w:pos="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3.8.7. Подрядчик несет ответственность за причиненные его персоналом убытки, связанные с конфликтами, нарушением дисциплины, неадекватным поведением.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tabs>
          <w:tab w:val="left" w:pos="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3.8.8. В случае привлечения Подрядчиком субподрядной организации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  <w:r>
        <w:rPr>
          <w:rFonts w:ascii="Liberation Serif" w:hAnsi="Liberation Serif" w:cs="Liberation Serif"/>
        </w:rPr>
      </w:r>
    </w:p>
    <w:p>
      <w:pPr>
        <w:ind w:left="708"/>
        <w:jc w:val="both"/>
        <w:spacing w:line="276" w:lineRule="auto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left="708"/>
        <w:jc w:val="both"/>
        <w:spacing w:line="276" w:lineRule="auto"/>
        <w:rPr>
          <w:rFonts w:ascii="Liberation Serif" w:hAnsi="Liberation Serif" w:cs="Liberation Serif"/>
          <w:b/>
        </w:rPr>
      </w:pPr>
      <w:r>
        <w:rPr>
          <w:rFonts w:ascii="Liberation Serif" w:hAnsi="Liberation Serif" w:eastAsia="Liberation Serif" w:cs="Liberation Serif"/>
          <w:b/>
        </w:rPr>
        <w:t xml:space="preserve">3.9. Требования к порядку привлечения субподрядчиков </w:t>
      </w:r>
      <w:r>
        <w:rPr>
          <w:rFonts w:ascii="Liberation Serif" w:hAnsi="Liberation Serif" w:cs="Liberation Serif"/>
          <w:b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Подрядчик для выполнения работ указанных в ТЗ может привлекать к исполнению обязательств по договору субподр</w:t>
      </w:r>
      <w:r>
        <w:rPr>
          <w:rFonts w:ascii="Liberation Serif" w:hAnsi="Liberation Serif" w:eastAsia="Liberation Serif" w:cs="Liberation Serif"/>
        </w:rPr>
        <w:t xml:space="preserve">ядчиков (соисполнителей) после получения письменного предварительного согласия Заказчика, при этом общий объем работ, выполняемых всеми субподрядчиками (соисполнителями) не должен превышать 50 (пятидесяти) % (процентов) от общего объема работ по договору. 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В случае привлечения субподрядчиков, Подрядчик обязан: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- согласовывать кандидатуры субподрядчиков (соисполнителей) в случае изменения их состава по сравнению с представленными Подрядчиками в заявке на участие в закупке;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- до заключения договора с субподрядчиком (соисполнителем) представить Заказчику следующую информацию: наименование и адрес субподрядчика (с</w:t>
      </w:r>
      <w:r>
        <w:rPr>
          <w:rFonts w:ascii="Liberation Serif" w:hAnsi="Liberation Serif" w:eastAsia="Liberation Serif" w:cs="Liberation Serif"/>
        </w:rPr>
        <w:t xml:space="preserve">оисполнителя), перечень видов работ (услуг), которые Подрядчик намерен поручить субподрядчику (соисполнителю); копии его лицензий и иных документов о допусках к видам работ, сведения о квалификации и опыте инженерного состава субподрядчика (соисполнителя);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- предусматривать в договорах субподряда: право Заказчика наблюдать, проверять, инспектировать деятельность субподрядчиков (соисполнителей) и </w:t>
      </w:r>
      <w:r>
        <w:rPr>
          <w:rFonts w:ascii="Liberation Serif" w:hAnsi="Liberation Serif" w:eastAsia="Liberation Serif" w:cs="Liberation Serif"/>
        </w:rPr>
        <w:t xml:space="preserve">выполнение субподрядчиками (соисполнителями) любых обязательств, принятых по договору субподряда, обязанность субподрядчиков (соисполнителей) выполнять требования Заказчика, аналогичные предъявляемые Подрядчику и предоставлять всю необходимую документацию;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- в теч</w:t>
      </w:r>
      <w:r>
        <w:rPr>
          <w:rFonts w:ascii="Liberation Serif" w:hAnsi="Liberation Serif" w:eastAsia="Liberation Serif" w:cs="Liberation Serif"/>
        </w:rPr>
        <w:t xml:space="preserve">ении 1 (одного) рабочего дня с момента заключения договоров/соглашений дополняющих, изменяющих, прекращающих договоры с субподрядчиками (соисполнителями) представлять копии этих договоров/соглашений дополняющих, изменяющих, прекращающих договоры Заказчику.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845"/>
        <w:numPr>
          <w:ilvl w:val="0"/>
          <w:numId w:val="2"/>
        </w:numPr>
        <w:ind w:left="284" w:hanging="284"/>
        <w:jc w:val="both"/>
        <w:spacing w:after="0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eastAsia="Liberation Serif" w:cs="Liberation Serif"/>
          <w:b/>
          <w:sz w:val="24"/>
          <w:szCs w:val="24"/>
        </w:rPr>
        <w:t xml:space="preserve">ПОРЯДОК ФОРМИРОВАНИЯ КОММЕРЧЕСКОГО ПРЕДЛОЖЕНИЯ УЧАСТНИКА, ОБОСНОВАНИЯ ЦЕНЫ, РАСЧЕТОВ, ПРЕДОСТАВЛЕНИЯ БАНКОВСКИХ ГАРАНТИЙ</w:t>
      </w:r>
      <w:r>
        <w:rPr>
          <w:rFonts w:ascii="Liberation Serif" w:hAnsi="Liberation Serif" w:cs="Liberation Serif"/>
          <w:b/>
          <w:sz w:val="24"/>
          <w:szCs w:val="24"/>
        </w:rPr>
      </w:r>
    </w:p>
    <w:p>
      <w:pPr>
        <w:pStyle w:val="845"/>
        <w:numPr>
          <w:ilvl w:val="1"/>
          <w:numId w:val="2"/>
        </w:numPr>
        <w:ind w:left="0" w:firstLine="993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  <w:t xml:space="preserve">Участник закупки в составе предложения должен предоставить согласие с представленными сметами и методами ценообразования в соответствии с формами, представленными в закупочной документации</w:t>
      </w: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.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845"/>
        <w:numPr>
          <w:ilvl w:val="1"/>
          <w:numId w:val="2"/>
        </w:numPr>
        <w:ind w:left="0" w:firstLine="993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Максимальная (начальная) стоимость работ корректируется применением к утвержденным сметным расчетам коэффициента тендерного снижения.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845"/>
        <w:numPr>
          <w:ilvl w:val="1"/>
          <w:numId w:val="2"/>
        </w:numPr>
        <w:ind w:left="0" w:firstLine="993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При этом принятие смет Заказчика не освобождает Подрядчика от ответственности за формирование качественной сметной документации и ее соответствие исполнительным работам на стадии реализации мероприятий.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При составлении сметной документации руководствоваться Рекомендациями по формированию сметной стоимости (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Приложение №№ 3 к ТЗ).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845"/>
        <w:numPr>
          <w:ilvl w:val="1"/>
          <w:numId w:val="2"/>
        </w:numPr>
        <w:ind w:left="0" w:firstLine="993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Договор на выполнение работ заключается по фор</w:t>
      </w: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ме Заказчика. Договор заключается в объеме настоящего ТЗ, после согласования и утверждения смет Заказчиком. При этом цена договора определяется утвержденной сметой и не может превышать цену конкурсной заявки Подрядчика, указанной в письме о подаче оферты. 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845"/>
        <w:numPr>
          <w:ilvl w:val="1"/>
          <w:numId w:val="3"/>
        </w:numPr>
        <w:ind w:left="0" w:firstLine="993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. </w:t>
      </w: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Заказчик производит расчет за выполненные в рамках настоящего договора работы путем перечисления денежных средст</w:t>
      </w: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в на расчетный счет Подрядчика на основании выставленного счета-фактуры, в течение 7 (семи) рабочих дней с даты подписания актов о приемке выполненных работ (форма КС-2) и справки о стоимости выполненных работ и затрат (форма КС-3) уполномоченными представ</w:t>
      </w: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ителями сторон. В платежном поручении Заказчик указывает дату и номер настоящего договора. Датой оплаты является день списания денежных средств с корреспондентского счета банка, обслуживающего Заказчика. Расчеты по договору могут производиться иным способо</w:t>
      </w: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м, не противоречащим действующему законодательству РФ. Заказчик имеет право не соблюдать данный порядок и в одностороннем порядке изменить срок, соразмерно увеличив его на количество дней, затраченных Подрядчиком на устранение претензий по качеству работ. 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845"/>
        <w:numPr>
          <w:ilvl w:val="1"/>
          <w:numId w:val="3"/>
        </w:numPr>
        <w:ind w:left="0" w:firstLine="993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Обеспечение исполнения договора: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4.6.1. Заказчиком определены следующие обязательства по Договору, которые должны быть обеспечены: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• обязательство о поставке товара, выполнении работ, оказании услуг в сроки, указанные в Договоре;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• обязательство о поставке товара, выполнении работ, оказании услуг, соответствующих качественным и количественным характеристикам, установленным в Договоре;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• другие обязательства, предусмотренные условиями Договора.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4.6.2. Обеспечение исполнения Договора представляется до даты заключения договора и может быть представлено в виде независимой гарантии, внесения денежных средств, поручительства афф</w:t>
      </w:r>
      <w:r>
        <w:rPr>
          <w:rFonts w:ascii="Liberation Serif" w:hAnsi="Liberation Serif" w:cs="Liberation Serif"/>
        </w:rPr>
        <w:t xml:space="preserve">илированного лица (в случаях, установленных настоящим разделом), в размере 5% от начальной (максимальной) цены Договора, кроме того НДС, а именно в сумме 167 871,27 (сто шестьдесят семь тысяч восемьсот семьдесят один) руб. 27 копеек (2751988,00*0,05*1,22).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В случае, если обеспечение исполнения Договора пр</w:t>
      </w:r>
      <w:r>
        <w:rPr>
          <w:rFonts w:ascii="Liberation Serif" w:hAnsi="Liberation Serif" w:cs="Liberation Serif"/>
        </w:rPr>
        <w:t xml:space="preserve">едоставляется в виде независимой гарантии или поручительства аффилированного лица, срок их действия должен превышать срок исполнения обязательств, которые должны быть обеспечены такой банковской гарантией, таким поручительством, не менее чем на один месяц.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4.6.3. Способ обеспечения исполнения Договора определяется Подрядчиком самостоятельно, кроме случаев предоставления поручительства аффилированного лица, предусмотренных настоящим разделом.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4.6.4. В случае предоставления в качестве обеспечения исполнения Договора независимой гарантии, независимая гарантия должна отвечать следующим требованиям, предъявляемым к условиям принимаемых независимых гарантий: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1. Независимая гарантия должна быть выдана гарантом, предусмотренным частью 1 статьи 45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2. Информация о независимо</w:t>
      </w:r>
      <w:r>
        <w:rPr>
          <w:rFonts w:ascii="Liberation Serif" w:hAnsi="Liberation Serif" w:cs="Liberation Serif"/>
        </w:rPr>
        <w:t xml:space="preserve">й гарантии должна быть включена в реестр независимых гарантий, предусмотренный частью 8 статьи 45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 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3. Независимая гарантия выдается победителю закупки/Подрядчику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гаранта. </w:t>
      </w:r>
      <w:r>
        <w:rPr>
          <w:rFonts w:ascii="Liberation Serif" w:hAnsi="Liberation Serif" w:cs="Liberation Serif"/>
        </w:rPr>
        <w:t xml:space="preserve">Форма независимой гарантии должна соответствовать форме, установленной</w:t>
      </w:r>
      <w:r>
        <w:rPr>
          <w:rFonts w:ascii="Liberation Serif" w:hAnsi="Liberation Serif" w:cs="Liberation Serif"/>
        </w:rPr>
        <w:t xml:space="preserve"> Положением Правительства Российской Федерации от 09.08.2022 № 1397 «О независимых гарантиях, предоставляемых в качестве обеспечения заявки на участие в конкурентной закупке товаров, работ, услуг в электронной форме с участием субъектов малого и среднего п</w:t>
      </w:r>
      <w:r>
        <w:rPr>
          <w:rFonts w:ascii="Liberation Serif" w:hAnsi="Liberation Serif" w:cs="Liberation Serif"/>
        </w:rPr>
        <w:t xml:space="preserve">редпринимательства, и независимых гарантиях, предоставляемых в качестве обеспечения исполнения договора, заключаемого по результатам такой закупки, а также о внесении изменений в некоторые акты Правительства Российской Федерации» (далее также – Положение).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Форма независимой гарантии должна быть составлена с учетом требований статей 368—379 Гражда</w:t>
      </w:r>
      <w:r>
        <w:rPr>
          <w:rFonts w:ascii="Liberation Serif" w:hAnsi="Liberation Serif" w:cs="Liberation Serif"/>
        </w:rPr>
        <w:t xml:space="preserve">нского кодекса РФ и в ней должны быть указаны: дата выдачи; принципал; бенефициар; гарант; денежная сумма, подлежащая выплате, или порядок ее определения; срок действия гарантии; обстоятельства, при наступлении которых должна быть выплачена сумма гарантии.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4. Независимая гарантия не может быть отозвана выдавшим ее гарантом.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5. Независимая гарантия, предоставляемая в качестве обеспечения исполнения Договора, должна содержать следующие дополнительные требования: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а) условие о праве Заказчика (Бенефициара) предъявлять до</w:t>
      </w:r>
      <w:r>
        <w:rPr>
          <w:rFonts w:ascii="Liberation Serif" w:hAnsi="Liberation Serif" w:cs="Liberation Serif"/>
        </w:rPr>
        <w:t xml:space="preserve"> окончания срока действия независимой гарантии в случае неисполнения или ненадлежащего исполнения Подрядчиком обеспеченных ею обязательств составленное по форме приложения к Положению требование об уплате денежной суммы по независимой гарантии в размере це</w:t>
      </w:r>
      <w:r>
        <w:rPr>
          <w:rFonts w:ascii="Liberation Serif" w:hAnsi="Liberation Serif" w:cs="Liberation Serif"/>
        </w:rPr>
        <w:t xml:space="preserve">ны Договора, уменьшенной на сумму, пропорциональную объему исполненных Подрядчиком обязательств, которые предусмотрены Договором и в отношении которых Заказчиком (Бенефициаром) осуществлена приемка, но не превышающем размер обеспечения исполнения Договора;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б) условие о праве Заказчика (Бенефициара) направлять требование об уплате денежной суммы по независимой гарантии в письменной форме на бумажном носителе или в ф</w:t>
      </w:r>
      <w:r>
        <w:rPr>
          <w:rFonts w:ascii="Liberation Serif" w:hAnsi="Liberation Serif" w:cs="Liberation Serif"/>
        </w:rPr>
        <w:t xml:space="preserve">орме электронного документа, подписанного усиленной квалифицированной электронной подписью лица, имеющего право действовать от имени Заказчика (Бенефициара). Выбор формы направления такого требования осуществляется Заказчиком (Бенефициаром) самостоятельно.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6. В незав</w:t>
      </w:r>
      <w:r>
        <w:rPr>
          <w:rFonts w:ascii="Liberation Serif" w:hAnsi="Liberation Serif" w:cs="Liberation Serif"/>
        </w:rPr>
        <w:t xml:space="preserve">исимой гарантии должно содержаться условие об обязанности Гаранта рассмотреть требование Заказчика (Бенефициара) об уплате денежной суммы по независимой гарантии не позднее 5 рабочих дней со дня, следующего за днем получения такого требования и документов: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а) расчет суммы, включаемой в требование об уплате денежной суммы по независимой гарантии;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б) документ, содержащий указание на нарушения принципалом обязательств, предусмотренных договором;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в) документ, подтверждающий полномочия лица, подписавшего требование об </w:t>
      </w:r>
      <w:r>
        <w:rPr>
          <w:rFonts w:ascii="Liberation Serif" w:hAnsi="Liberation Serif" w:cs="Liberation Serif"/>
        </w:rPr>
        <w:t xml:space="preserve">уплате денежной суммы по независимой гарантии (доверенность) (в случае если такое требование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Бенефициара). 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7.  В независимой гарантии должен быть указан срок уплаты Бенефициару денежной суммы по требованию - не позднее 10 рабочих дней </w:t>
      </w:r>
      <w:r>
        <w:rPr>
          <w:rFonts w:ascii="Liberation Serif" w:hAnsi="Liberation Serif" w:cs="Liberation Serif"/>
        </w:rPr>
        <w:t xml:space="preserve">со дня, следующего за днем получения Гарантом требования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требования.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8.  В</w:t>
      </w:r>
      <w:r>
        <w:rPr>
          <w:rFonts w:ascii="Liberation Serif" w:hAnsi="Liberation Serif" w:cs="Liberation Serif"/>
        </w:rPr>
        <w:t xml:space="preserve"> независимой гарантии должна быть указана сумма, подлежащая выплате. Сумма независимой гарантии должна быть рассчитана исходя из цены лота, указанной в ГКПЗ (кроме того, НДС в случае применения), а не от окончательной цены Договора, заключаемого сторонами.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9. В независ</w:t>
      </w:r>
      <w:r>
        <w:rPr>
          <w:rFonts w:ascii="Liberation Serif" w:hAnsi="Liberation Serif" w:cs="Liberation Serif"/>
        </w:rPr>
        <w:t xml:space="preserve">имой гарантии должен быть указан срок ее действия (дата) [срок должен быть определен по правилам Гражданского Кодекса РФ, но в любом случае срок действия гарантии должен превышать срок исполнения обязательств по Договору не менее, чем на один месяц с даты </w:t>
      </w:r>
      <w:r>
        <w:rPr>
          <w:rFonts w:ascii="Liberation Serif" w:hAnsi="Liberation Serif" w:cs="Liberation Serif"/>
        </w:rPr>
        <w:t xml:space="preserve">окончания срока исполнения основного обязательства, предусмотренного извещением об осуществлении конкурентной закупки с участием субъектов малого и среднего предпринимательства, документацией о такой закупке]. 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10. В тексте независимой гарантии должна содержаться информация об основном обязательстве, исполнение по которому обеспечивается гарантией (№ и дата Договора и его предмет / № и дата извещения о проведении закупки и его предмет).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11. В тексте независимой гарантии рекомендуется указать, что она выдается в обеспечение исполнения обязательств по Договору.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12. При продлении срока действия Договора срок де</w:t>
      </w:r>
      <w:r>
        <w:rPr>
          <w:rFonts w:ascii="Liberation Serif" w:hAnsi="Liberation Serif" w:cs="Liberation Serif"/>
        </w:rPr>
        <w:t xml:space="preserve">йствия независимой гарантии также должен быть продлен на этот же период времени, либо организована выдача новой независимой гарантии на аналогичных условиях (согласно требованиям действующего законодательства, применимого права гарантии и решения гаранта).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13. Требование платежа должно быть предъявлено Гаранту до истечения срока действия банковской гарантии. 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14. Независимая гарантия не должна содержать условие о представлении Заказчиком гаранту судебных актов, подтверждающих неисполнение Подрядчиком обязательств, обеспечиваемых независимой гарантией.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15. В независимой гарантии не должно содержаться не документарных условий (без указания документов, подтверждающих соответствующий факт).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16. При составлении текста независимой гарантии необходимо учитывать принцип независимости гарантии от условий Договора. В независимой гарантии не должно быть условий или требований, противоречащих вышеизложенному.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17. Независимая гарантия должна быть выдана Гарантом, согласованным и одобрен</w:t>
      </w:r>
      <w:r>
        <w:rPr>
          <w:rFonts w:ascii="Liberation Serif" w:hAnsi="Liberation Serif" w:cs="Liberation Serif"/>
        </w:rPr>
        <w:t xml:space="preserve">ным Бенефициаром до выдачи гарантии с учетом Перечня гарантов, предусмотренных частью 8 статьи 45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 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18. В независимой гарантии должно быть указано, что обязательство Гаранта перед Бенефициаром ограничено уплатой суммы, на которую выдана гарантия.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19. В независимой гарантии рекомендуется указать, что Ответственность Гаранта перед Бенефициаром за невыполнение или ненадлежащее выполнение обязательства по гарантии не ограничена суммой, на которую выдана гарантия.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20. Независимая гарантия должна содержать условие о праве Бенефициара передавать право требования по независимой гарантии в случае перемены Заказчика с предварительным извещением об этом Гаранта.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21. В независимой гарантии должна быть ука</w:t>
      </w:r>
      <w:r>
        <w:rPr>
          <w:rFonts w:ascii="Liberation Serif" w:hAnsi="Liberation Serif" w:cs="Liberation Serif"/>
        </w:rPr>
        <w:t xml:space="preserve">зана сторона, ответственная за оплату тех или иных расходов, связанных с выдачей или исполнением требований по гарантии, в т.ч. условие о том, что расходы, возникающие в связи с перечислением Гарантом денежных средств по независимой гарантии, несет Гарант.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22. В независимой гарантии должно содержаться условие, согласно которому исполнением обязательств Гаранта по независимой гарантии является фактическое поступление денежн</w:t>
      </w:r>
      <w:r>
        <w:rPr>
          <w:rFonts w:ascii="Liberation Serif" w:hAnsi="Liberation Serif" w:cs="Liberation Serif"/>
        </w:rPr>
        <w:t xml:space="preserve">ых сумм на счет, на котором в соответствии с законодательством Российской Федерации учитываются операции со средствами, поступающими Заказчику (Бенефициару), указанный Заказчиком (Бенефициаром) в требовании об уплате денежной суммы по независимой гарантии.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23. В независимой гарантии должно содержаться условие о рассмотрении споров, возникающих в связи с исполнением обязательств по независимой гарантии, в арбитражном суде.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24. В не</w:t>
      </w:r>
      <w:r>
        <w:rPr>
          <w:rFonts w:ascii="Liberation Serif" w:hAnsi="Liberation Serif" w:cs="Liberation Serif"/>
        </w:rPr>
        <w:t xml:space="preserve">зависимой гарантии должно содержаться условие о том, что исключение банка (если независимая гарантия выдана банком) из перечня, предусмотренного частью 1.2 статьи 45 Федерального закона от 05.04.2013 № 44-ФЗ «О контрактной системе в сфере закупок товаров, </w:t>
      </w:r>
      <w:r>
        <w:rPr>
          <w:rFonts w:ascii="Liberation Serif" w:hAnsi="Liberation Serif" w:cs="Liberation Serif"/>
        </w:rPr>
        <w:t xml:space="preserve">работ, услуг для обеспечения государственных и муниципальных нужд», фонда содействия кредитовани</w:t>
      </w:r>
      <w:r>
        <w:rPr>
          <w:rFonts w:ascii="Liberation Serif" w:hAnsi="Liberation Serif" w:cs="Liberation Serif"/>
        </w:rPr>
        <w:t xml:space="preserve">ю (гарантийного фонда, фонда поручительств), являющегося участником национальной гарантийной системы поддержки малого и среднего предпринимательства, предусмотренного Федеральным законом «О развитии малого и среднего предпринимательства в Российской Федера</w:t>
      </w:r>
      <w:r>
        <w:rPr>
          <w:rFonts w:ascii="Liberation Serif" w:hAnsi="Liberation Serif" w:cs="Liberation Serif"/>
        </w:rPr>
        <w:t xml:space="preserve">ции» (если независимая гарантия выдана таким фондом), из перечня, предусмотренного частью 1.7 указанной статьи, не прекращает действия независимой гарантии и не освобождает Гаранта от ответственности за неисполнение либо ненадлежащее исполнение ее условий.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25. Гарант в случае просрочки исполнения обязательств по независимой гарантии, требование об уплате денежной суммы по которой соответст</w:t>
      </w:r>
      <w:r>
        <w:rPr>
          <w:rFonts w:ascii="Liberation Serif" w:hAnsi="Liberation Serif" w:cs="Liberation Serif"/>
        </w:rPr>
        <w:t xml:space="preserve">вует условиям такой независимой гарантии и предъявлено Заказчиком до окончания срока ее действия, обязан за каждый день просрочки уплатить Заказчику неустойку (пени) в размере 0,1 процента от денежной суммы, подлежащей уплате по такой независимой гарантии.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26. Несоответствие независимой гарантии, предоставленной Подрядчиком с участием субъектов малого и среднего предпринимательства, настоящим требованиям является основанием для отказа в принятии ее Заказчиком.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4.6.5. В случае предоставления в качестве обеспечения исполнения Договора поручительства аффилированного лица, такое поручительство должно соответствовать требованиям, установленным статьями 361 – 367 Гражданского кодекса Российской Федерации.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4.6.6. Поручительство аффилированного с Подрядчиком лица может быть предоставлено в качестве обеспечения исполнения договора только в случае, если в отношении Подрядчика иностранными государствами введены ограничительные меры и/или </w:t>
      </w:r>
      <w:r>
        <w:rPr>
          <w:rFonts w:ascii="Liberation Serif" w:hAnsi="Liberation Serif" w:cs="Liberation Serif"/>
        </w:rPr>
        <w:t xml:space="preserve">в отношении бенефициарных владельцев (совокупная доля его прямого и (или) косвенного участия в этой организации составляет не менее 25 процентов) Подрядчика иностранными государствами введены ограничительные меры, при этом такое аффилированное лицо должно: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а) обладать кредитным рейтингом не ниже категории «А» п</w:t>
      </w:r>
      <w:r>
        <w:rPr>
          <w:rFonts w:ascii="Liberation Serif" w:hAnsi="Liberation Serif" w:cs="Liberation Serif"/>
        </w:rPr>
        <w:t xml:space="preserve">о национальной рейтинговой шкале для Российской Федерации кредитного рейтингового агентства Аналитическое Кредитное Рейтинговое Агентство (Акционерное общество) или кредитного рейтингового агентства акционерное общество «Рейтинговое Агентство «Эксперт РА»;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б) представить Заказчику сведения, подтверждающие платежеспособность аффилированного лица, в том числе его ежегодную и ежеквартальную бухгалтерскую (финансовую) отчетность;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в) принять обязательство письменно извещать Заказчика в течение 3-х рабочих дней со дня наступления следующих событий: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- предъявление к аффилированному лицу имущественных требований, превышающих 10 процентов балансовой стоимости активов аффилированного лица со стороны третьих лиц;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- возбуждение в отношении руководителя аффилированного лица уголовного дела в соответствии с уголовно-процессуальным законодательством Российской Федерации;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- изменение местонахождения, учредительных документов, органов управления аффилированного лица, банковских реквизитов аффилированного лица;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- принятие решения о реорганизации или ликвидации аффилированного лица;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- принятие судом к производству заявления о признании аффилированного лица несостоятельным (банкротом).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При наступлении одного из указанных событий Заказчик вправе требовать замены поручительства аффилированного лица на банковскую гарантию, на поручительство иного аффилированного лица, иное обеспечение обязательств.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4.6.7. Ответственность Поручителя перед Заказчиком за надлежащее исполнение Подрядчиком обязательств п</w:t>
      </w:r>
      <w:r>
        <w:rPr>
          <w:rFonts w:ascii="Liberation Serif" w:hAnsi="Liberation Serif" w:cs="Liberation Serif"/>
        </w:rPr>
        <w:t xml:space="preserve">о Договору солидарная, в связи с чем, в случае неисполнения или ненадлежащего исполнения указанного обязательства по Договору, Заказчик вправе по своему выбору потребовать исполнения неисполненного обязательства или его части у Подрядчика и/или Поручителя.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4.6.8. В ходе исполнения Договора Подрядчик вправе изменить способ обеспечения исполнения Договора и (или) предоставить Заказчику взамен ранее предостав</w:t>
      </w:r>
      <w:r>
        <w:rPr>
          <w:rFonts w:ascii="Liberation Serif" w:hAnsi="Liberation Serif" w:cs="Liberation Serif"/>
        </w:rPr>
        <w:t xml:space="preserve">ленного обеспечения исполнения Договора новое обеспечение исполнения Договора, размер которого может быть уменьшен пропорционально стоимости исполненных обязательств, приемка и оплата которых осуществлены в порядке и сроки, которые предусмотрены Договором.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4.6.9. В случае увеличения стоимости Договора/обеспечиваемого обязательства (в том числе размера аванса) осуществляется соответствующее увеличение размера предоставляемого обеспечения.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Уменьшение размера обеспечения исполнения Договора осуществляется при условии отсутствия неисполне</w:t>
      </w:r>
      <w:r>
        <w:rPr>
          <w:rFonts w:ascii="Liberation Serif" w:hAnsi="Liberation Serif" w:cs="Liberation Serif"/>
        </w:rPr>
        <w:t xml:space="preserve">нных Подрядчиком требований об уплате неустоек (штрафов, пеней), предъявленных Заказчиком, а также приемки части поставленного товара, выполненных работ, оказанных услуг в объеме, превышающем выплаченный аванс (если Договором предусмотрена выплата аванса).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4.6.10. В случае предоставления в качестве обеспечения исполнения Договора денежных средств, такие денежные средства должны быть внесены на счет Заказчика, указанный в Договоре.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4.6.11. Срок возврата Заказчико</w:t>
      </w:r>
      <w:r>
        <w:rPr>
          <w:rFonts w:ascii="Liberation Serif" w:hAnsi="Liberation Serif" w:cs="Liberation Serif"/>
        </w:rPr>
        <w:t xml:space="preserve">м Подрядчику денежных средств, внесенных в качестве обеспечения исполнения Договора, - в течение 30 (тридцати) рабочих дней с даты исполнения Подрядчиком обязательств, предусмотренных Договором. Денежные средства возвращаются на банковский счет Подрядчика.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4.6.12. В случае уменьшения размера обеспечения исполнения Дог</w:t>
      </w:r>
      <w:r>
        <w:rPr>
          <w:rFonts w:ascii="Liberation Serif" w:hAnsi="Liberation Serif" w:cs="Liberation Serif"/>
        </w:rPr>
        <w:t xml:space="preserve">овора, если такое обеспечение осуществляется путем внесения денежных средств на счет, указанный Заказчиком, по заявлению Подрядчика денежные средства в сумме, на которую уменьшен размер обеспечения исполнения Договора, возвращаются Заказчиком в течение 30 </w:t>
      </w:r>
      <w:r>
        <w:rPr>
          <w:rFonts w:ascii="Liberation Serif" w:hAnsi="Liberation Serif" w:cs="Liberation Serif"/>
        </w:rPr>
        <w:t xml:space="preserve">(тридцати) рабочих дней с даты исполнения Подрядчиком обязательств, предусмотренных Договором, на сумму которых уменьшается размер обеспечения и направления соответствующего заявления Заказчику. Денежные средства возвращаются на банковский счет Подрядчика.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4.6.13. Обязательства Заказчика по возврату денежных средств в счет обеспечения исполнения Договора считаются исполненными с момента списания денежных средств со счета Заказчика.</w:t>
      </w:r>
      <w:r/>
    </w:p>
    <w:p>
      <w:pPr>
        <w:ind w:left="360" w:firstLine="490"/>
        <w:jc w:val="both"/>
        <w:spacing w:line="276" w:lineRule="auto"/>
      </w:pPr>
      <w:r>
        <w:rPr>
          <w:rFonts w:ascii="Liberation Serif" w:hAnsi="Liberation Serif" w:cs="Liberation Serif"/>
        </w:rPr>
        <w:t xml:space="preserve">4.6.14. Денежные средства, внесенные Подрядчиком в качестве обеспечения исполнения Договора, Подрядчику не возвращаются в случае неисполнения, ненадлежащего исполнения Подрядчиком обязательств, указанных в пункте 4.6.1. ТЗ.</w:t>
      </w:r>
      <w:r/>
    </w:p>
    <w:p>
      <w:pPr>
        <w:ind w:left="360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line="276" w:lineRule="auto"/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eastAsia="Liberation Serif" w:cs="Liberation Serif"/>
          <w:b/>
        </w:rPr>
        <w:t xml:space="preserve">5. ТРЕБОВАНИЯ К УЧАСТНИКАМ ЗАКУПКИ </w:t>
      </w:r>
      <w:r>
        <w:rPr>
          <w:rFonts w:ascii="Liberation Serif" w:hAnsi="Liberation Serif" w:cs="Liberation Serif"/>
          <w:b/>
          <w:bCs/>
        </w:rPr>
      </w:r>
    </w:p>
    <w:p>
      <w:pPr>
        <w:ind w:left="708"/>
        <w:jc w:val="both"/>
        <w:spacing w:line="276" w:lineRule="auto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 w:eastAsiaTheme="minorHAnsi"/>
          <w:b/>
          <w:lang w:eastAsia="en-US"/>
        </w:rPr>
        <w:t xml:space="preserve">5.1. Требования о наличии кадровых ресурсов и их квалификации </w:t>
      </w:r>
      <w:r>
        <w:rPr>
          <w:rFonts w:ascii="Liberation Serif" w:hAnsi="Liberation Serif" w:cs="Liberation Serif"/>
          <w:b/>
        </w:rPr>
      </w:r>
    </w:p>
    <w:p>
      <w:pPr>
        <w:ind w:firstLine="708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5.1.1. </w:t>
      </w:r>
      <w:r>
        <w:rPr>
          <w:rFonts w:ascii="Liberation Serif" w:hAnsi="Liberation Serif" w:eastAsia="Liberation Serif" w:cs="Liberation Serif"/>
          <w:color w:val="000000" w:themeColor="text1"/>
        </w:rPr>
        <w:t xml:space="preserve">Участник закупки представляет в составе своего предложения справку о кадровых ресурсах по форме, указанной в закупочной документации, подтверждающую наличие персонала необходимого для выполнения работ, являющихся предметом закупки: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  <w:highlight w:val="white"/>
        </w:rPr>
      </w:pPr>
      <w:r>
        <w:rPr>
          <w:rFonts w:ascii="Liberation Serif" w:hAnsi="Liberation Serif" w:eastAsia="Liberation Serif" w:cs="Liberation Serif"/>
        </w:rPr>
        <w:t xml:space="preserve">- мастер/прораб/производитель работ – 1 чел., </w:t>
      </w:r>
      <w:r>
        <w:rPr>
          <w:rFonts w:ascii="Liberation Serif" w:hAnsi="Liberation Serif" w:eastAsia="Liberation Serif" w:cs="Liberation Serif"/>
          <w:highlight w:val="white"/>
        </w:rPr>
        <w:t xml:space="preserve">имеющий 2 и 3 группу </w:t>
      </w:r>
      <w:r>
        <w:rPr>
          <w:rFonts w:ascii="Liberation Serif" w:hAnsi="Liberation Serif" w:eastAsia="Liberation Serif" w:cs="Liberation Serif"/>
          <w:color w:val="000000" w:themeColor="text1"/>
          <w:highlight w:val="white"/>
        </w:rPr>
        <w:t xml:space="preserve">по безопасности работ на высоте</w:t>
      </w:r>
      <w:r>
        <w:rPr>
          <w:rFonts w:ascii="Liberation Serif" w:hAnsi="Liberation Serif" w:eastAsia="Liberation Serif" w:cs="Liberation Serif"/>
          <w:highlight w:val="white"/>
        </w:rPr>
        <w:t xml:space="preserve">;</w:t>
      </w:r>
      <w:r>
        <w:rPr>
          <w:rFonts w:ascii="Liberation Serif" w:hAnsi="Liberation Serif" w:cs="Liberation Serif"/>
          <w:highlight w:val="white"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  <w:highlight w:val="white"/>
        </w:rPr>
      </w:pPr>
      <w:r>
        <w:rPr>
          <w:rFonts w:ascii="Liberation Serif" w:hAnsi="Liberation Serif" w:eastAsia="Liberation Serif" w:cs="Liberation Serif"/>
          <w:highlight w:val="white"/>
        </w:rPr>
        <w:t xml:space="preserve">- слесарь-ремонтник от 4-го разряда – 3 человека (в т.ч. стропальщик – 2 чел., а также 2 чел., имеющие 1 группу </w:t>
      </w:r>
      <w:r>
        <w:rPr>
          <w:rFonts w:ascii="Liberation Serif" w:hAnsi="Liberation Serif" w:eastAsia="Liberation Serif" w:cs="Liberation Serif"/>
          <w:color w:val="000000" w:themeColor="text1"/>
          <w:highlight w:val="white"/>
        </w:rPr>
        <w:t xml:space="preserve">по безопасности работ на высоте</w:t>
      </w:r>
      <w:r>
        <w:rPr>
          <w:rFonts w:ascii="Liberation Serif" w:hAnsi="Liberation Serif" w:eastAsia="Liberation Serif" w:cs="Liberation Serif"/>
          <w:highlight w:val="white"/>
        </w:rPr>
        <w:t xml:space="preserve">);</w:t>
      </w:r>
      <w:r>
        <w:rPr>
          <w:rFonts w:ascii="Liberation Serif" w:hAnsi="Liberation Serif" w:cs="Liberation Serif"/>
          <w:highlight w:val="white"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- газорезчик от 6-го разряда – 1 человек;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- электросварщик – 1 чел. (</w:t>
      </w:r>
      <w:r>
        <w:rPr>
          <w:rFonts w:ascii="Liberation Serif" w:hAnsi="Liberation Serif" w:eastAsia="Liberation Serif" w:cs="Liberation Serif"/>
          <w:lang w:val="en-US"/>
        </w:rPr>
        <w:t xml:space="preserve">I</w:t>
      </w:r>
      <w:r>
        <w:rPr>
          <w:rFonts w:ascii="Liberation Serif" w:hAnsi="Liberation Serif" w:eastAsia="Liberation Serif" w:cs="Liberation Serif"/>
        </w:rPr>
        <w:t xml:space="preserve"> уровень, область распространения аттестации КО </w:t>
      </w:r>
      <w:r>
        <w:rPr>
          <w:rFonts w:ascii="Liberation Serif" w:hAnsi="Liberation Serif" w:eastAsia="Liberation Serif" w:cs="Liberation Serif"/>
        </w:rPr>
        <w:t xml:space="preserve">(2)</w:t>
      </w:r>
      <w:r>
        <w:rPr>
          <w:rFonts w:ascii="Liberation Serif" w:hAnsi="Liberation Serif" w:eastAsia="Liberation Serif" w:cs="Liberation Serif"/>
        </w:rPr>
        <w:t xml:space="preserve"> аттестованных на проведение следующих видов сварки:</w:t>
      </w:r>
      <w:r>
        <w:rPr>
          <w:rFonts w:ascii="Liberation Serif" w:hAnsi="Liberation Serif" w:eastAsia="Liberation Serif" w:cs="Liberation Serif"/>
        </w:rPr>
        <w:t xml:space="preserve"> РД – Ручная дуговая сварка покрытыми электродами; на следующих группах технических устройств опасных производственных объектов: КО – Котельное оборудование </w:t>
      </w:r>
      <w:r>
        <w:rPr>
          <w:rFonts w:ascii="Liberation Serif" w:hAnsi="Liberation Serif" w:eastAsia="Liberation Serif" w:cs="Liberation Serif"/>
        </w:rPr>
        <w:t xml:space="preserve">п.2 – Трубопроводы пара и горячей воды с рабочим давлением пара более 0,07МПа и температурой воды выше 115</w:t>
      </w:r>
      <w:r>
        <w:rPr>
          <w:rFonts w:ascii="Liberation Serif" w:hAnsi="Liberation Serif" w:eastAsia="Liberation Serif" w:cs="Liberation Serif"/>
          <w:vertAlign w:val="superscript"/>
        </w:rPr>
        <w:t xml:space="preserve">0</w:t>
      </w:r>
      <w:r>
        <w:rPr>
          <w:rFonts w:ascii="Liberation Serif" w:hAnsi="Liberation Serif" w:eastAsia="Liberation Serif" w:cs="Liberation Serif"/>
        </w:rPr>
        <w:t xml:space="preserve">С)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- </w:t>
      </w:r>
      <w:r>
        <w:rPr>
          <w:rFonts w:ascii="Liberation Serif" w:hAnsi="Liberation Serif" w:cs="Liberation Serif" w:eastAsiaTheme="minorHAnsi"/>
          <w:lang w:eastAsia="en-US"/>
        </w:rPr>
        <w:t xml:space="preserve">специалист сварочного производства – 1 </w:t>
      </w:r>
      <w:r>
        <w:rPr>
          <w:rFonts w:ascii="Liberation Serif" w:hAnsi="Liberation Serif" w:eastAsia="Liberation Serif" w:cs="Liberation Serif"/>
        </w:rPr>
        <w:t xml:space="preserve">чел. (</w:t>
      </w:r>
      <w:r>
        <w:rPr>
          <w:rFonts w:ascii="Liberation Serif" w:hAnsi="Liberation Serif" w:cs="Liberation Serif" w:eastAsiaTheme="minorHAnsi"/>
          <w:lang w:eastAsia="en-US"/>
        </w:rPr>
        <w:t xml:space="preserve">II или III уровня</w:t>
      </w:r>
      <w:r>
        <w:rPr>
          <w:rFonts w:ascii="Liberation Serif" w:hAnsi="Liberation Serif" w:eastAsia="Liberation Serif" w:cs="Liberation Serif"/>
        </w:rPr>
        <w:t xml:space="preserve">, </w:t>
      </w:r>
      <w:r>
        <w:rPr>
          <w:rFonts w:ascii="Liberation Serif" w:hAnsi="Liberation Serif" w:eastAsia="Liberation Serif" w:cs="Liberation Serif"/>
        </w:rPr>
        <w:t xml:space="preserve">о</w:t>
      </w:r>
      <w:r>
        <w:rPr>
          <w:rFonts w:ascii="Liberation Serif" w:hAnsi="Liberation Serif" w:eastAsia="Liberation Serif" w:cs="Liberation Serif"/>
        </w:rPr>
        <w:t xml:space="preserve">бласть распространения аттестации КО (2) аттестованных на проведение следующих видов сварки:</w:t>
      </w:r>
      <w:r>
        <w:rPr>
          <w:rFonts w:ascii="Liberation Serif" w:hAnsi="Liberation Serif" w:eastAsia="Liberation Serif" w:cs="Liberation Serif"/>
        </w:rPr>
        <w:t xml:space="preserve"> РД – Ручная дуговая сварка покрытыми электродами; на следующих группах технических устройств опасных производственных объектов: КО – Котельное оборудование </w:t>
      </w:r>
      <w:r>
        <w:rPr>
          <w:rFonts w:ascii="Liberation Serif" w:hAnsi="Liberation Serif" w:eastAsia="Liberation Serif" w:cs="Liberation Serif"/>
        </w:rPr>
        <w:t xml:space="preserve">п.2 – Трубопроводы пара и горячей воды с рабочим давлением пара более 0,07МПа и температурой воды выше 115</w:t>
      </w:r>
      <w:r>
        <w:rPr>
          <w:rFonts w:ascii="Liberation Serif" w:hAnsi="Liberation Serif" w:eastAsia="Liberation Serif" w:cs="Liberation Serif"/>
          <w:vertAlign w:val="superscript"/>
        </w:rPr>
        <w:t xml:space="preserve">0</w:t>
      </w:r>
      <w:r>
        <w:rPr>
          <w:rFonts w:ascii="Liberation Serif" w:hAnsi="Liberation Serif" w:eastAsia="Liberation Serif" w:cs="Liberation Serif"/>
        </w:rPr>
        <w:t xml:space="preserve">С</w:t>
      </w:r>
      <w:r>
        <w:rPr>
          <w:rFonts w:ascii="Liberation Serif" w:hAnsi="Liberation Serif" w:eastAsia="Liberation Serif" w:cs="Liberation Serif"/>
        </w:rPr>
        <w:t xml:space="preserve">)</w:t>
      </w:r>
      <w:r>
        <w:rPr>
          <w:rFonts w:ascii="Liberation Serif" w:hAnsi="Liberation Serif" w:eastAsia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Наименование профессий указаны в соответствии с ЕТКС. При отсутствии в штате профессий с требуемыми наименованиями участник закупки предоставляет альтернативную</w:t>
      </w:r>
      <w:r>
        <w:rPr>
          <w:rFonts w:ascii="Liberation Serif" w:hAnsi="Liberation Serif" w:eastAsia="Liberation Serif" w:cs="Liberation Serif"/>
        </w:rPr>
        <w:t xml:space="preserve"> профессию, числящуюся в штатном расписании организации с письменным подтверждением идентичности объёмов и квалификации должностных обязанностей заменяемых профессий. При совмещении профессий предоставляется письменное подтверждение данного обстоятельства.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При этом допускается обеспечение кадровой потребности силами привлекаемых сторонних организаций, за исключение</w:t>
      </w:r>
      <w:r>
        <w:rPr>
          <w:rFonts w:ascii="Liberation Serif" w:hAnsi="Liberation Serif" w:eastAsia="Liberation Serif" w:cs="Liberation Serif"/>
        </w:rPr>
        <w:t xml:space="preserve">м инженерно-технического персонала (мастер, инженер, руководитель работ и т.д.). Обеспечение требуемых кадровых единиц сторонними организациями подтверждаются письменно, что может являться обоснованием наличия требуемых кадровых ресурсов Участника закупки.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Документы (копии удостоверений, справки, подписанные уполномоченным лицом, иные </w:t>
      </w:r>
      <w:r>
        <w:rPr>
          <w:rFonts w:ascii="Liberation Serif" w:hAnsi="Liberation Serif" w:eastAsia="Liberation Serif" w:cs="Liberation Serif"/>
        </w:rPr>
        <w:t xml:space="preserve">документы), подтверждающие наличие необходимой аттестации Участник должен предъявить на </w:t>
      </w:r>
      <w:r>
        <w:rPr>
          <w:rFonts w:ascii="Liberation Serif" w:hAnsi="Liberation Serif" w:eastAsia="Liberation Serif" w:cs="Liberation Serif"/>
          <w:b/>
          <w:bCs/>
        </w:rPr>
        <w:t xml:space="preserve">электросварщика</w:t>
      </w:r>
      <w:r>
        <w:rPr>
          <w:rFonts w:ascii="Liberation Serif" w:hAnsi="Liberation Serif" w:eastAsia="Liberation Serif" w:cs="Liberation Serif"/>
          <w:b/>
          <w:bCs/>
        </w:rPr>
        <w:t xml:space="preserve"> </w:t>
      </w:r>
      <w:r>
        <w:rPr>
          <w:rFonts w:ascii="Liberation Serif" w:hAnsi="Liberation Serif" w:eastAsia="Liberation Serif" w:cs="Liberation Serif"/>
          <w:b/>
        </w:rPr>
        <w:t xml:space="preserve">– 1 чел.</w:t>
      </w:r>
      <w:r>
        <w:rPr>
          <w:rFonts w:ascii="Liberation Serif" w:hAnsi="Liberation Serif" w:eastAsia="Liberation Serif" w:cs="Liberation Serif"/>
          <w:b/>
        </w:rPr>
        <w:t xml:space="preserve">, </w:t>
      </w:r>
      <w:r>
        <w:rPr>
          <w:rFonts w:ascii="Liberation Serif" w:hAnsi="Liberation Serif" w:cs="Liberation Serif" w:eastAsiaTheme="minorHAnsi"/>
          <w:b/>
          <w:lang w:eastAsia="en-US"/>
        </w:rPr>
        <w:t xml:space="preserve">специалиста сварочного производства – 1 </w:t>
      </w:r>
      <w:r>
        <w:rPr>
          <w:rFonts w:ascii="Liberation Serif" w:hAnsi="Liberation Serif" w:eastAsia="Liberation Serif" w:cs="Liberation Serif"/>
          <w:b/>
        </w:rPr>
        <w:t xml:space="preserve">чел.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708"/>
        <w:jc w:val="both"/>
        <w:spacing w:line="276" w:lineRule="auto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 w:eastAsiaTheme="minorHAnsi"/>
          <w:b/>
          <w:lang w:eastAsia="en-US"/>
        </w:rPr>
        <w:t xml:space="preserve">5.2. Требования о наличии материально-технических ресурсов </w:t>
      </w:r>
      <w:r>
        <w:rPr>
          <w:rFonts w:ascii="Liberation Serif" w:hAnsi="Liberation Serif" w:cs="Liberation Serif"/>
          <w:b/>
        </w:rPr>
      </w:r>
    </w:p>
    <w:p>
      <w:pPr>
        <w:ind w:left="708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5.2.1. </w:t>
      </w:r>
      <w:r>
        <w:rPr>
          <w:rFonts w:ascii="Liberation Serif" w:hAnsi="Liberation Serif" w:eastAsia="Liberation Serif" w:cs="Liberation Serif"/>
          <w:color w:val="000000" w:themeColor="text1"/>
        </w:rPr>
        <w:t xml:space="preserve">Участник закупки представляет в составе своего предложения справку </w:t>
      </w:r>
      <w:r>
        <w:rPr>
          <w:rFonts w:ascii="Liberation Serif" w:hAnsi="Liberation Serif" w:eastAsia="Liberation Serif" w:cs="Liberation Serif"/>
        </w:rPr>
        <w:t xml:space="preserve">о материально-технических ресурсах по форме, указанной в закупочной документации, подтверждающую</w:t>
      </w:r>
      <w:r>
        <w:rPr>
          <w:rFonts w:ascii="Liberation Serif" w:hAnsi="Liberation Serif" w:eastAsia="Liberation Serif" w:cs="Liberation Serif"/>
        </w:rPr>
        <w:t xml:space="preserve"> наличие</w:t>
      </w:r>
      <w:r>
        <w:rPr>
          <w:rFonts w:ascii="Liberation Serif" w:hAnsi="Liberation Serif" w:cs="Liberation Serif" w:eastAsiaTheme="minorHAnsi"/>
          <w:lang w:eastAsia="en-US"/>
        </w:rPr>
        <w:t xml:space="preserve">:</w:t>
      </w:r>
      <w:r>
        <w:rPr>
          <w:rFonts w:ascii="Liberation Serif" w:hAnsi="Liberation Serif" w:cs="Liberation Serif"/>
        </w:rPr>
      </w:r>
    </w:p>
    <w:p>
      <w:pPr>
        <w:ind w:left="708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- транспорт для перевозки грузов – 1 ед. (возможно использование арендованного транспорта);</w:t>
      </w:r>
      <w:r>
        <w:rPr>
          <w:rFonts w:ascii="Liberation Serif" w:hAnsi="Liberation Serif" w:cs="Liberation Serif"/>
        </w:rPr>
      </w:r>
    </w:p>
    <w:p>
      <w:pPr>
        <w:ind w:left="708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- слесарный инструмент – 1 комплект;</w:t>
      </w:r>
      <w:r>
        <w:rPr>
          <w:rFonts w:ascii="Liberation Serif" w:hAnsi="Liberation Serif" w:cs="Liberation Serif"/>
        </w:rPr>
      </w:r>
    </w:p>
    <w:p>
      <w:pPr>
        <w:ind w:left="708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- сварочный аппарат (сварочный инвертор) – 1 шт.;</w:t>
      </w:r>
      <w:r>
        <w:rPr>
          <w:rFonts w:ascii="Liberation Serif" w:hAnsi="Liberation Serif" w:cs="Liberation Serif"/>
        </w:rPr>
      </w:r>
    </w:p>
    <w:p>
      <w:pPr>
        <w:ind w:left="708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- газорезательное оборудование  – 1 комплект;</w:t>
      </w:r>
      <w:r>
        <w:rPr>
          <w:rFonts w:ascii="Liberation Serif" w:hAnsi="Liberation Serif" w:cs="Liberation Serif"/>
        </w:rPr>
      </w:r>
    </w:p>
    <w:p>
      <w:pPr>
        <w:ind w:left="708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- угловая шлифовальная машина – 1 шт.;</w:t>
      </w:r>
      <w:r>
        <w:rPr>
          <w:rFonts w:ascii="Liberation Serif" w:hAnsi="Liberation Serif" w:cs="Liberation Serif"/>
        </w:rPr>
      </w:r>
    </w:p>
    <w:p>
      <w:pPr>
        <w:ind w:left="708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- таль ручная г/п 3-10т. – 1 шт.</w:t>
      </w:r>
      <w:r>
        <w:rPr>
          <w:rFonts w:ascii="Liberation Serif" w:hAnsi="Liberation Serif" w:cs="Liberation Serif"/>
        </w:rPr>
      </w:r>
    </w:p>
    <w:p>
      <w:pPr>
        <w:ind w:left="708"/>
        <w:jc w:val="both"/>
        <w:spacing w:line="276" w:lineRule="auto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 w:eastAsiaTheme="minorHAnsi"/>
          <w:b/>
          <w:lang w:eastAsia="en-US"/>
        </w:rPr>
        <w:t xml:space="preserve">5.3. Требования о наличии аттестованных технологий сварки</w:t>
      </w:r>
      <w:r>
        <w:rPr>
          <w:rFonts w:ascii="Liberation Serif" w:hAnsi="Liberation Serif" w:cs="Liberation Serif"/>
          <w:b/>
        </w:rPr>
      </w:r>
    </w:p>
    <w:p>
      <w:pPr>
        <w:ind w:firstLine="708"/>
        <w:jc w:val="both"/>
        <w:spacing w:line="276" w:lineRule="auto"/>
        <w:shd w:val="clear" w:color="auto" w:fill="ffffff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eastAsia="Liberation Serif" w:cs="Liberation Serif"/>
        </w:rPr>
        <w:t xml:space="preserve">Участник </w:t>
      </w:r>
      <w:r>
        <w:rPr>
          <w:rFonts w:ascii="Liberation Serif" w:hAnsi="Liberation Serif" w:eastAsia="Liberation Serif" w:cs="Liberation Serif"/>
        </w:rPr>
        <w:t xml:space="preserve">закупки должен предоставить в составе своей заявки копию действующего Свидетельства НАКС о готовности организации-заявителя к использованию аттестованной технологии сварки (наплавки) в соответствии с требованиями РД 03-615-03, с распространением в области </w:t>
      </w:r>
      <w:r>
        <w:rPr>
          <w:rFonts w:ascii="Liberation Serif" w:hAnsi="Liberation Serif" w:eastAsia="Liberation Serif" w:cs="Liberation Serif"/>
        </w:rPr>
        <w:t xml:space="preserve">аттестации на КО (2) включающей</w:t>
      </w:r>
      <w:r>
        <w:rPr>
          <w:rFonts w:ascii="Liberation Serif" w:hAnsi="Liberation Serif" w:eastAsia="Liberation Serif" w:cs="Liberation Serif"/>
          <w:color w:val="000000"/>
        </w:rPr>
        <w:t xml:space="preserve"> </w:t>
      </w:r>
      <w:r>
        <w:rPr>
          <w:rFonts w:ascii="Liberation Serif" w:hAnsi="Liberation Serif" w:eastAsia="Liberation Serif" w:cs="Liberation Serif"/>
        </w:rPr>
        <w:t xml:space="preserve">виды сварки:</w:t>
      </w:r>
      <w:r>
        <w:rPr>
          <w:rFonts w:ascii="Liberation Serif" w:hAnsi="Liberation Serif" w:cs="Liberation Serif"/>
          <w:color w:val="000000"/>
        </w:rPr>
      </w:r>
    </w:p>
    <w:p>
      <w:pPr>
        <w:contextualSpacing/>
        <w:ind w:left="720"/>
        <w:jc w:val="both"/>
        <w:spacing w:after="200"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 w:eastAsiaTheme="minorHAnsi"/>
          <w:color w:val="000000"/>
          <w:lang w:eastAsia="en-US"/>
        </w:rPr>
        <w:t xml:space="preserve">РД - Ручная </w:t>
      </w:r>
      <w:r>
        <w:rPr>
          <w:rFonts w:ascii="Liberation Serif" w:hAnsi="Liberation Serif" w:cs="Liberation Serif" w:eastAsiaTheme="minorHAnsi"/>
          <w:lang w:eastAsia="en-US"/>
        </w:rPr>
        <w:t xml:space="preserve">дуговая сварка покрытыми электродами</w:t>
      </w:r>
      <w:r>
        <w:rPr>
          <w:rFonts w:ascii="Liberation Serif" w:hAnsi="Liberation Serif" w:eastAsia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 w:eastAsiaTheme="minorHAnsi"/>
          <w:b/>
          <w:lang w:eastAsia="en-US"/>
        </w:rPr>
        <w:t xml:space="preserve">5.4. Требования к измерительным приборам и инструментам</w:t>
      </w:r>
      <w:r>
        <w:rPr>
          <w:rFonts w:ascii="Liberation Serif" w:hAnsi="Liberation Serif" w:cs="Liberation Serif"/>
          <w:b/>
        </w:rPr>
      </w:r>
    </w:p>
    <w:p>
      <w:pPr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 w:eastAsiaTheme="minorHAnsi"/>
          <w:lang w:eastAsia="en-US"/>
        </w:rPr>
        <w:t xml:space="preserve">Нет требований.</w:t>
      </w:r>
      <w:r>
        <w:rPr>
          <w:rFonts w:ascii="Liberation Serif" w:hAnsi="Liberation Serif" w:cs="Liberation Serif" w:eastAsiaTheme="minorHAnsi"/>
          <w:lang w:eastAsia="en-US"/>
        </w:rPr>
        <w:t xml:space="preserve"> </w:t>
      </w:r>
      <w:r>
        <w:rPr>
          <w:rFonts w:ascii="Liberation Serif" w:hAnsi="Liberation Serif" w:cs="Liberation Serif"/>
        </w:rPr>
      </w:r>
    </w:p>
    <w:p>
      <w:pPr>
        <w:ind w:left="708"/>
        <w:jc w:val="both"/>
        <w:spacing w:line="276" w:lineRule="auto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 w:eastAsiaTheme="minorHAnsi"/>
          <w:b/>
          <w:lang w:eastAsia="en-US"/>
        </w:rPr>
        <w:t xml:space="preserve">5.5. Требования о наличии действующих разрешений, аттестаций, свидетельств СРО, лицензий</w:t>
      </w:r>
      <w:r>
        <w:rPr>
          <w:rFonts w:ascii="Liberation Serif" w:hAnsi="Liberation Serif" w:cs="Liberation Serif"/>
          <w:b/>
        </w:rPr>
      </w:r>
    </w:p>
    <w:p>
      <w:pPr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 w:eastAsiaTheme="minorHAnsi"/>
          <w:lang w:eastAsia="en-US"/>
        </w:rPr>
        <w:t xml:space="preserve">Нет требований.</w:t>
      </w:r>
      <w:r>
        <w:rPr>
          <w:rFonts w:ascii="Liberation Serif" w:hAnsi="Liberation Serif" w:cs="Liberation Serif"/>
        </w:rPr>
      </w:r>
    </w:p>
    <w:p>
      <w:pPr>
        <w:ind w:left="708"/>
        <w:jc w:val="both"/>
        <w:spacing w:line="276" w:lineRule="auto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 w:eastAsiaTheme="minorHAnsi"/>
          <w:b/>
          <w:lang w:eastAsia="en-US"/>
        </w:rPr>
        <w:t xml:space="preserve">5.6. Требования о наличии сертифицированных систем менеджмента</w:t>
      </w:r>
      <w:r>
        <w:rPr>
          <w:rFonts w:ascii="Liberation Serif" w:hAnsi="Liberation Serif" w:cs="Liberation Serif"/>
          <w:b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  <w:iCs/>
          <w:color w:val="000000" w:themeColor="text1"/>
        </w:rPr>
      </w:pPr>
      <w:r>
        <w:rPr>
          <w:rFonts w:ascii="Liberation Serif" w:hAnsi="Liberation Serif" w:eastAsia="Liberation Serif" w:cs="Liberation Serif"/>
          <w:iCs/>
          <w:color w:val="000000" w:themeColor="text1"/>
        </w:rPr>
        <w:t xml:space="preserve">Участник закупки предоставляет в составе своей заявки документы (копии сертификатов, ли</w:t>
      </w:r>
      <w:r>
        <w:rPr>
          <w:rFonts w:ascii="Liberation Serif" w:hAnsi="Liberation Serif" w:eastAsia="Liberation Serif" w:cs="Liberation Serif"/>
          <w:iCs/>
          <w:color w:val="000000" w:themeColor="text1"/>
        </w:rPr>
        <w:t xml:space="preserve">цензий, свидетельств, справки, подписанные уполномоченным лицом, иные документы), подтверждающие наличие у него системы менеджмента качества действующей в соответствии с законодательными и нормативными актами РФ (ИСО 9001), систем менеджмента промышленной </w:t>
      </w:r>
      <w:r>
        <w:rPr>
          <w:rFonts w:ascii="Liberation Serif" w:hAnsi="Liberation Serif" w:eastAsia="Liberation Serif" w:cs="Liberation Serif"/>
          <w:iCs/>
          <w:color w:val="000000" w:themeColor="text1"/>
        </w:rPr>
        <w:t xml:space="preserve">безопасности и охраны труда (СМПБиОТ) (</w:t>
      </w:r>
      <w:r>
        <w:rPr>
          <w:rFonts w:ascii="Liberation Serif" w:hAnsi="Liberation Serif" w:eastAsia="Liberation Serif" w:cs="Liberation Serif"/>
          <w:iCs/>
        </w:rPr>
        <w:t xml:space="preserve">OHSAS 18001/ ISO 45001</w:t>
      </w:r>
      <w:r>
        <w:rPr>
          <w:rFonts w:ascii="Liberation Serif" w:hAnsi="Liberation Serif" w:eastAsia="Liberation Serif" w:cs="Liberation Serif"/>
          <w:iCs/>
          <w:color w:val="000000" w:themeColor="text1"/>
        </w:rPr>
        <w:t xml:space="preserve">), экологического менеджмента (ISO 14001), энергетического менеджмента ISO 50001/ГОСТ Р ИСО 50001.</w:t>
      </w:r>
      <w:r>
        <w:rPr>
          <w:rFonts w:ascii="Liberation Serif" w:hAnsi="Liberation Serif" w:cs="Liberation Serif"/>
          <w:iCs/>
          <w:color w:val="000000" w:themeColor="text1"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  <w:b/>
        </w:rPr>
      </w:pPr>
      <w:r>
        <w:rPr>
          <w:rFonts w:ascii="Liberation Serif" w:hAnsi="Liberation Serif" w:eastAsia="Liberation Serif" w:cs="Liberation Serif"/>
          <w:b/>
        </w:rPr>
        <w:t xml:space="preserve">5.7. Требования о наличии аккредитации в Группе «Интер РАО»</w:t>
      </w:r>
      <w:r>
        <w:rPr>
          <w:rFonts w:ascii="Liberation Serif" w:hAnsi="Liberation Serif" w:cs="Liberation Serif"/>
          <w:b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  <w:iCs/>
        </w:rPr>
      </w:pPr>
      <w:r>
        <w:rPr>
          <w:rFonts w:ascii="Liberation Serif" w:hAnsi="Liberation Serif" w:cs="Liberation Serif" w:eastAsiaTheme="minorHAnsi"/>
          <w:color w:val="000000" w:themeColor="text1"/>
          <w:lang w:eastAsia="en-US"/>
        </w:rPr>
        <w:t xml:space="preserve">В случае если Участник закупки является аккредитованным лицом в рамках системы добровольной аккредитации в Группе «Интер РАО» в качестве поставщика товаров, работ, услуг, являющихся предметом настоящей закупки, то такой Участник </w:t>
      </w:r>
      <w:r>
        <w:rPr>
          <w:rFonts w:ascii="Liberation Serif" w:hAnsi="Liberation Serif" w:eastAsia="Liberation Serif" w:cs="Liberation Serif"/>
          <w:color w:val="000000" w:themeColor="text1"/>
        </w:rPr>
        <w:t xml:space="preserve">предоставляет в составе своего предложения</w:t>
      </w:r>
      <w:r>
        <w:rPr>
          <w:rFonts w:ascii="Liberation Serif" w:hAnsi="Liberation Serif" w:cs="Liberation Serif" w:eastAsiaTheme="minorHAnsi"/>
          <w:color w:val="000000" w:themeColor="text1"/>
          <w:lang w:eastAsia="en-US"/>
        </w:rPr>
        <w:t xml:space="preserve"> копию действующего Свидетельства об аккредитации в Группе «Интер РАО» </w:t>
      </w:r>
      <w:r>
        <w:rPr>
          <w:rFonts w:ascii="Liberation Serif" w:hAnsi="Liberation Serif" w:eastAsia="Liberation Serif" w:cs="Liberation Serif"/>
          <w:iCs/>
        </w:rPr>
        <w:t xml:space="preserve">» </w:t>
      </w:r>
      <w:bookmarkStart w:id="0" w:name="_Hlk177117280"/>
      <w:r>
        <w:rPr>
          <w:rFonts w:ascii="Liberation Serif" w:hAnsi="Liberation Serif" w:eastAsia="Liberation Serif" w:cs="Liberation Serif"/>
          <w:iCs/>
        </w:rPr>
        <w:t xml:space="preserve">в качестве поставщика по следующим видам деятельности:</w:t>
      </w:r>
      <w:bookmarkEnd w:id="0"/>
      <w:r/>
      <w:r>
        <w:rPr>
          <w:rFonts w:ascii="Liberation Serif" w:hAnsi="Liberation Serif" w:cs="Liberation Serif"/>
          <w:iCs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  <w:color w:val="000000" w:themeColor="text1"/>
        </w:rPr>
      </w:pPr>
      <w:r>
        <w:rPr>
          <w:rFonts w:ascii="Liberation Serif" w:hAnsi="Liberation Serif" w:eastAsia="Liberation Serif" w:cs="Liberation Serif"/>
          <w:iCs/>
        </w:rPr>
        <w:t xml:space="preserve">- работы по ремонту </w:t>
      </w:r>
      <w:r>
        <w:rPr>
          <w:rFonts w:ascii="Liberation Serif" w:hAnsi="Liberation Serif" w:eastAsia="Liberation Serif" w:cs="Liberation Serif"/>
        </w:rPr>
        <w:t xml:space="preserve">паровых и водогрейных котлов, иного тепломеханического оборудования</w:t>
      </w:r>
      <w:r>
        <w:rPr>
          <w:rFonts w:ascii="Liberation Serif" w:hAnsi="Liberation Serif" w:cs="Liberation Serif" w:eastAsiaTheme="minorHAnsi"/>
          <w:color w:val="000000" w:themeColor="text1"/>
          <w:lang w:eastAsia="en-US"/>
        </w:rPr>
        <w:t xml:space="preserve">.</w:t>
      </w:r>
      <w:r>
        <w:rPr>
          <w:rFonts w:ascii="Liberation Serif" w:hAnsi="Liberation Serif" w:cs="Liberation Serif"/>
          <w:color w:val="000000" w:themeColor="text1"/>
        </w:rPr>
      </w:r>
    </w:p>
    <w:p>
      <w:pPr>
        <w:ind w:left="708"/>
        <w:jc w:val="both"/>
        <w:spacing w:line="276" w:lineRule="auto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 w:eastAsiaTheme="minorHAnsi"/>
          <w:b/>
          <w:lang w:eastAsia="en-US"/>
        </w:rPr>
        <w:t xml:space="preserve">5.8. Требования к опыту выполнения аналогичных работ</w:t>
      </w:r>
      <w:r>
        <w:rPr>
          <w:rFonts w:ascii="Liberation Serif" w:hAnsi="Liberation Serif" w:cs="Liberation Serif"/>
          <w:b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Участник закупки предоставляет в составе своего предложения справку о перечне и объемах выполнения аналогичных договоров по форме, указанной в закупочной документации, подтверждающую наличие у него опыта выполнение аналогичных видов </w:t>
      </w:r>
      <w:r>
        <w:rPr>
          <w:rFonts w:ascii="Liberation Serif" w:hAnsi="Liberation Serif" w:eastAsia="Liberation Serif" w:cs="Liberation Serif"/>
        </w:rPr>
        <w:t xml:space="preserve">работ </w:t>
      </w:r>
      <w:r>
        <w:rPr>
          <w:rFonts w:ascii="Liberation Serif" w:hAnsi="Liberation Serif" w:eastAsia="Liberation Serif" w:cs="Liberation Serif"/>
          <w:b/>
        </w:rPr>
        <w:t xml:space="preserve">по текущему ремонту паровых и водогрейных котлов, иного тепломеханического оборудования</w:t>
      </w:r>
      <w:r>
        <w:rPr>
          <w:rFonts w:ascii="Liberation Serif" w:hAnsi="Liberation Serif" w:eastAsia="Liberation Serif" w:cs="Liberation Serif"/>
        </w:rPr>
        <w:t xml:space="preserve">, </w:t>
      </w:r>
      <w:bookmarkStart w:id="1" w:name="_Hlk177043322"/>
      <w:r>
        <w:rPr>
          <w:rFonts w:ascii="Liberation Serif" w:hAnsi="Liberation Serif" w:eastAsia="Liberation Serif" w:cs="Liberation Serif"/>
        </w:rPr>
        <w:t xml:space="preserve">в</w:t>
      </w:r>
      <w:r>
        <w:rPr>
          <w:rFonts w:ascii="Liberation Serif" w:hAnsi="Liberation Serif" w:eastAsia="Liberation Serif" w:cs="Liberation Serif"/>
        </w:rPr>
        <w:t xml:space="preserve"> количестве не менее 2-х исполненных договоров за последние два года, предшествующих дате подачи заявки на участие в данной закупке</w:t>
      </w:r>
      <w:bookmarkEnd w:id="1"/>
      <w:r>
        <w:rPr>
          <w:rFonts w:ascii="Liberation Serif" w:hAnsi="Liberation Serif" w:eastAsia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</w:p>
    <w:p>
      <w:pPr>
        <w:ind w:left="708"/>
        <w:jc w:val="both"/>
        <w:spacing w:line="276" w:lineRule="auto"/>
        <w:rPr>
          <w:rFonts w:ascii="Liberation Serif" w:hAnsi="Liberation Serif" w:cs="Liberation Serif"/>
          <w:b/>
        </w:rPr>
      </w:pPr>
      <w:r>
        <w:rPr>
          <w:rFonts w:ascii="Liberation Serif" w:hAnsi="Liberation Serif" w:eastAsia="Liberation Serif" w:cs="Liberation Serif"/>
          <w:b/>
        </w:rPr>
        <w:t xml:space="preserve">5.9. Требования к опыту поставки аналогичных товаров</w:t>
      </w:r>
      <w:r>
        <w:rPr>
          <w:rFonts w:ascii="Liberation Serif" w:hAnsi="Liberation Serif" w:cs="Liberation Serif"/>
          <w:b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Нет требований.</w:t>
      </w:r>
      <w:r>
        <w:rPr>
          <w:rFonts w:ascii="Liberation Serif" w:hAnsi="Liberation Serif" w:cs="Liberation Serif"/>
        </w:rPr>
      </w:r>
    </w:p>
    <w:p>
      <w:pPr>
        <w:ind w:left="708"/>
        <w:jc w:val="both"/>
        <w:spacing w:line="276" w:lineRule="auto"/>
        <w:rPr>
          <w:rFonts w:ascii="Liberation Serif" w:hAnsi="Liberation Serif" w:cs="Liberation Serif"/>
          <w:b/>
        </w:rPr>
      </w:pPr>
      <w:r>
        <w:rPr>
          <w:rFonts w:ascii="Liberation Serif" w:hAnsi="Liberation Serif" w:eastAsia="Liberation Serif" w:cs="Liberation Serif"/>
          <w:b/>
        </w:rPr>
        <w:t xml:space="preserve">5.10. Требования к субподрядным организациям</w:t>
      </w:r>
      <w:r>
        <w:rPr>
          <w:rFonts w:ascii="Liberation Serif" w:hAnsi="Liberation Serif" w:cs="Liberation Serif"/>
          <w:b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Требования, указанные в пунктах 5.1. - 5.9. применимы к привлекаемым </w:t>
      </w:r>
      <w:r>
        <w:rPr>
          <w:rFonts w:ascii="Liberation Serif" w:hAnsi="Liberation Serif" w:eastAsia="Liberation Serif" w:cs="Liberation Serif"/>
        </w:rPr>
        <w:t xml:space="preserve">Участниками Субподрядчикам, в объеме поручаемых им работ согласно «Плану распределения работ между генеральным подрядчиком и субподрядными организациями» и документы, подтверждающие соответствие требованиям, должны приставляться в составе заявки участника.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845"/>
        <w:numPr>
          <w:ilvl w:val="0"/>
          <w:numId w:val="4"/>
        </w:numPr>
        <w:ind w:left="426" w:firstLine="283"/>
        <w:jc w:val="both"/>
        <w:spacing w:after="0"/>
        <w:tabs>
          <w:tab w:val="left" w:pos="284" w:leader="none"/>
        </w:tabs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eastAsia="Liberation Serif" w:cs="Liberation Serif"/>
          <w:b/>
          <w:sz w:val="24"/>
          <w:szCs w:val="24"/>
        </w:rPr>
        <w:t xml:space="preserve">ПРИЛОЖЕНИЯ К ТЗ.</w:t>
      </w:r>
      <w:r>
        <w:rPr>
          <w:rFonts w:ascii="Liberation Serif" w:hAnsi="Liberation Serif" w:cs="Liberation Serif"/>
          <w:b/>
          <w:sz w:val="24"/>
          <w:szCs w:val="24"/>
        </w:rPr>
      </w:r>
    </w:p>
    <w:p>
      <w:pPr>
        <w:pStyle w:val="845"/>
        <w:ind w:left="426"/>
        <w:jc w:val="both"/>
        <w:spacing w:after="0"/>
        <w:tabs>
          <w:tab w:val="left" w:pos="284" w:leader="none"/>
        </w:tabs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6.1. Ведомости объемов работ и локально-сметные расчеты (Приложения №№ 1-2);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845"/>
        <w:ind w:left="426"/>
        <w:jc w:val="both"/>
        <w:spacing w:after="0"/>
        <w:tabs>
          <w:tab w:val="left" w:pos="284" w:leader="none"/>
        </w:tabs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6.2. Рекомендации по формированию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сметной </w:t>
      </w:r>
      <w:bookmarkStart w:id="2" w:name="_GoBack"/>
      <w:r/>
      <w:bookmarkEnd w:id="2"/>
      <w:r>
        <w:rPr>
          <w:rFonts w:ascii="Liberation Serif" w:hAnsi="Liberation Serif" w:eastAsia="Liberation Serif" w:cs="Liberation Serif"/>
          <w:sz w:val="24"/>
          <w:szCs w:val="24"/>
        </w:rPr>
        <w:t xml:space="preserve">стоимости (Приложение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№ 3);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845"/>
        <w:ind w:left="426"/>
        <w:jc w:val="both"/>
        <w:spacing w:after="0"/>
        <w:tabs>
          <w:tab w:val="left" w:pos="284" w:leader="none"/>
        </w:tabs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ab/>
      </w:r>
      <w:r>
        <w:rPr>
          <w:rFonts w:ascii="Liberation Serif" w:hAnsi="Liberation Serif" w:cs="Liberation Serif"/>
          <w:sz w:val="24"/>
          <w:szCs w:val="24"/>
        </w:rPr>
      </w:r>
    </w:p>
    <w:tbl>
      <w:tblPr>
        <w:tblStyle w:val="703"/>
        <w:tblW w:w="10632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7338"/>
        <w:gridCol w:w="1176"/>
        <w:gridCol w:w="2118"/>
      </w:tblGrid>
      <w:tr>
        <w:tblPrEx/>
        <w:trPr/>
        <w:tc>
          <w:tcPr>
            <w:tcW w:w="7338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b/>
                <w:color w:val="ffffff" w:themeColor="background1"/>
              </w:rPr>
            </w:pPr>
            <w:r>
              <w:rPr>
                <w:rFonts w:ascii="Liberation Serif" w:hAnsi="Liberation Serif" w:eastAsia="Liberation Serif" w:cs="Liberation Serif"/>
                <w:b/>
                <w:color w:val="ffffff" w:themeColor="background1"/>
              </w:rPr>
              <w:t xml:space="preserve">Согласовано:</w:t>
            </w:r>
            <w:r>
              <w:rPr>
                <w:rFonts w:ascii="Liberation Serif" w:hAnsi="Liberation Serif" w:cs="Liberation Serif"/>
                <w:b/>
                <w:color w:val="ffffff" w:themeColor="background1"/>
              </w:rPr>
            </w:r>
          </w:p>
        </w:tc>
        <w:tc>
          <w:tcPr>
            <w:tcW w:w="1176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color w:val="ffffff" w:themeColor="background1"/>
              </w:rPr>
            </w:pPr>
            <w:r>
              <w:rPr>
                <w:rFonts w:ascii="Liberation Serif" w:hAnsi="Liberation Serif" w:cs="Liberation Serif"/>
                <w:color w:val="ffffff" w:themeColor="background1"/>
              </w:rPr>
            </w:r>
            <w:r>
              <w:rPr>
                <w:rFonts w:ascii="Liberation Serif" w:hAnsi="Liberation Serif" w:cs="Liberation Serif"/>
                <w:color w:val="ffffff" w:themeColor="background1"/>
              </w:rPr>
            </w:r>
          </w:p>
        </w:tc>
        <w:tc>
          <w:tcPr>
            <w:tcW w:w="2118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color w:val="ffffff" w:themeColor="background1"/>
              </w:rPr>
            </w:pPr>
            <w:r>
              <w:rPr>
                <w:rFonts w:ascii="Liberation Serif" w:hAnsi="Liberation Serif" w:cs="Liberation Serif"/>
                <w:color w:val="ffffff" w:themeColor="background1"/>
              </w:rPr>
            </w:r>
            <w:r>
              <w:rPr>
                <w:rFonts w:ascii="Liberation Serif" w:hAnsi="Liberation Serif" w:cs="Liberation Serif"/>
                <w:color w:val="ffffff" w:themeColor="background1"/>
              </w:rPr>
            </w:r>
          </w:p>
        </w:tc>
      </w:tr>
      <w:tr>
        <w:tblPrEx/>
        <w:trPr/>
        <w:tc>
          <w:tcPr>
            <w:tcW w:w="7338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color w:val="ffffff" w:themeColor="background1"/>
              </w:rPr>
            </w:pPr>
            <w:r>
              <w:rPr>
                <w:rFonts w:ascii="Liberation Serif" w:hAnsi="Liberation Serif" w:cs="Liberation Serif"/>
                <w:color w:val="ffffff" w:themeColor="background1"/>
              </w:rPr>
            </w:r>
            <w:r>
              <w:rPr>
                <w:rFonts w:ascii="Liberation Serif" w:hAnsi="Liberation Serif" w:cs="Liberation Serif"/>
                <w:color w:val="ffffff" w:themeColor="background1"/>
              </w:rPr>
            </w:r>
          </w:p>
        </w:tc>
        <w:tc>
          <w:tcPr>
            <w:tcW w:w="11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ffffff" w:themeColor="background1"/>
              </w:rPr>
            </w:pPr>
            <w:r>
              <w:rPr>
                <w:rFonts w:ascii="Liberation Serif" w:hAnsi="Liberation Serif" w:cs="Liberation Serif"/>
                <w:color w:val="ffffff" w:themeColor="background1"/>
              </w:rPr>
            </w:r>
            <w:r>
              <w:rPr>
                <w:rFonts w:ascii="Liberation Serif" w:hAnsi="Liberation Serif" w:cs="Liberation Serif"/>
                <w:color w:val="ffffff" w:themeColor="background1"/>
              </w:rPr>
            </w:r>
          </w:p>
        </w:tc>
        <w:tc>
          <w:tcPr>
            <w:tcW w:w="2118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color w:val="ffffff" w:themeColor="background1"/>
              </w:rPr>
            </w:pPr>
            <w:r>
              <w:rPr>
                <w:rFonts w:ascii="Liberation Serif" w:hAnsi="Liberation Serif" w:cs="Liberation Serif"/>
                <w:color w:val="ffffff" w:themeColor="background1"/>
              </w:rPr>
            </w:r>
            <w:r>
              <w:rPr>
                <w:rFonts w:ascii="Liberation Serif" w:hAnsi="Liberation Serif" w:cs="Liberation Serif"/>
                <w:color w:val="ffffff" w:themeColor="background1"/>
              </w:rPr>
            </w:r>
          </w:p>
        </w:tc>
      </w:tr>
      <w:tr>
        <w:tblPrEx/>
        <w:trPr/>
        <w:tc>
          <w:tcPr>
            <w:tcW w:w="7338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color w:val="ffffff" w:themeColor="background1"/>
              </w:rPr>
            </w:pPr>
            <w:r>
              <w:rPr>
                <w:rFonts w:ascii="Liberation Serif" w:hAnsi="Liberation Serif" w:eastAsia="Liberation Serif" w:cs="Liberation Serif"/>
                <w:color w:val="ffffff" w:themeColor="background1"/>
              </w:rPr>
              <w:t xml:space="preserve">Технический директор СП ТЭЦ-3 АО «Томская генерация»</w:t>
            </w:r>
            <w:r>
              <w:rPr>
                <w:rFonts w:ascii="Liberation Serif" w:hAnsi="Liberation Serif" w:cs="Liberation Serif"/>
                <w:color w:val="ffffff" w:themeColor="background1"/>
              </w:rPr>
            </w:r>
          </w:p>
        </w:tc>
        <w:tc>
          <w:tcPr>
            <w:tcW w:w="11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color w:val="ffffff" w:themeColor="background1"/>
              </w:rPr>
            </w:pPr>
            <w:r>
              <w:rPr>
                <w:rFonts w:ascii="Liberation Serif" w:hAnsi="Liberation Serif" w:eastAsia="Liberation Serif" w:cs="Liberation Serif"/>
                <w:color w:val="ffffff" w:themeColor="background1"/>
              </w:rPr>
              <w:t xml:space="preserve">________</w:t>
            </w:r>
            <w:r>
              <w:rPr>
                <w:rFonts w:ascii="Liberation Serif" w:hAnsi="Liberation Serif" w:cs="Liberation Serif"/>
                <w:color w:val="ffffff" w:themeColor="background1"/>
              </w:rPr>
            </w:r>
          </w:p>
        </w:tc>
        <w:tc>
          <w:tcPr>
            <w:tcW w:w="2118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color w:val="ffffff" w:themeColor="background1"/>
              </w:rPr>
            </w:pPr>
            <w:r>
              <w:rPr>
                <w:rFonts w:ascii="Liberation Serif" w:hAnsi="Liberation Serif" w:eastAsia="Liberation Serif" w:cs="Liberation Serif"/>
                <w:color w:val="ffffff" w:themeColor="background1"/>
              </w:rPr>
              <w:t xml:space="preserve">О.В. Ковалёв</w:t>
            </w:r>
            <w:r>
              <w:rPr>
                <w:rFonts w:ascii="Liberation Serif" w:hAnsi="Liberation Serif" w:cs="Liberation Serif"/>
                <w:color w:val="ffffff" w:themeColor="background1"/>
              </w:rPr>
            </w:r>
          </w:p>
        </w:tc>
      </w:tr>
      <w:tr>
        <w:tblPrEx/>
        <w:trPr/>
        <w:tc>
          <w:tcPr>
            <w:tcW w:w="7338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color w:val="ffffff" w:themeColor="background1"/>
              </w:rPr>
            </w:pPr>
            <w:r>
              <w:rPr>
                <w:rFonts w:ascii="Liberation Serif" w:hAnsi="Liberation Serif" w:cs="Liberation Serif"/>
                <w:color w:val="ffffff" w:themeColor="background1"/>
              </w:rPr>
            </w:r>
            <w:r>
              <w:rPr>
                <w:rFonts w:ascii="Liberation Serif" w:hAnsi="Liberation Serif" w:cs="Liberation Serif"/>
                <w:color w:val="ffffff" w:themeColor="background1"/>
              </w:rPr>
            </w:r>
          </w:p>
        </w:tc>
        <w:tc>
          <w:tcPr>
            <w:tcW w:w="11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ffffff" w:themeColor="background1"/>
              </w:rPr>
            </w:pPr>
            <w:r>
              <w:rPr>
                <w:rFonts w:ascii="Liberation Serif" w:hAnsi="Liberation Serif" w:cs="Liberation Serif"/>
                <w:color w:val="ffffff" w:themeColor="background1"/>
              </w:rPr>
            </w:r>
            <w:r>
              <w:rPr>
                <w:rFonts w:ascii="Liberation Serif" w:hAnsi="Liberation Serif" w:cs="Liberation Serif"/>
                <w:color w:val="ffffff" w:themeColor="background1"/>
              </w:rPr>
            </w:r>
          </w:p>
        </w:tc>
        <w:tc>
          <w:tcPr>
            <w:tcW w:w="2118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color w:val="ffffff" w:themeColor="background1"/>
              </w:rPr>
            </w:pPr>
            <w:r>
              <w:rPr>
                <w:rFonts w:ascii="Liberation Serif" w:hAnsi="Liberation Serif" w:cs="Liberation Serif"/>
                <w:color w:val="ffffff" w:themeColor="background1"/>
              </w:rPr>
            </w:r>
            <w:r>
              <w:rPr>
                <w:rFonts w:ascii="Liberation Serif" w:hAnsi="Liberation Serif" w:cs="Liberation Serif"/>
                <w:color w:val="ffffff" w:themeColor="background1"/>
              </w:rPr>
            </w:r>
          </w:p>
        </w:tc>
      </w:tr>
      <w:tr>
        <w:tblPrEx/>
        <w:trPr/>
        <w:tc>
          <w:tcPr>
            <w:tcW w:w="7338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color w:val="ffffff" w:themeColor="background1"/>
              </w:rPr>
            </w:pPr>
            <w:r>
              <w:rPr>
                <w:rFonts w:ascii="Liberation Serif" w:hAnsi="Liberation Serif" w:eastAsia="Liberation Serif" w:cs="Liberation Serif"/>
                <w:color w:val="ffffff" w:themeColor="background1"/>
              </w:rPr>
              <w:t xml:space="preserve">Зам. технического директора по ремонту СП ТЭЦ-3 </w:t>
            </w:r>
            <w:r>
              <w:rPr>
                <w:rFonts w:ascii="Liberation Serif" w:hAnsi="Liberation Serif" w:cs="Liberation Serif"/>
                <w:color w:val="ffffff" w:themeColor="background1"/>
              </w:rPr>
            </w:r>
          </w:p>
          <w:p>
            <w:pPr>
              <w:spacing w:line="276" w:lineRule="auto"/>
              <w:rPr>
                <w:rFonts w:ascii="Liberation Serif" w:hAnsi="Liberation Serif" w:cs="Liberation Serif"/>
                <w:color w:val="ffffff" w:themeColor="background1"/>
              </w:rPr>
            </w:pPr>
            <w:r>
              <w:rPr>
                <w:rFonts w:ascii="Liberation Serif" w:hAnsi="Liberation Serif" w:eastAsia="Liberation Serif" w:cs="Liberation Serif"/>
                <w:color w:val="ffffff" w:themeColor="background1"/>
              </w:rPr>
              <w:t xml:space="preserve">АО «Томская генерация»</w:t>
            </w:r>
            <w:r>
              <w:rPr>
                <w:rFonts w:ascii="Liberation Serif" w:hAnsi="Liberation Serif" w:cs="Liberation Serif"/>
                <w:color w:val="ffffff" w:themeColor="background1"/>
              </w:rPr>
            </w:r>
          </w:p>
        </w:tc>
        <w:tc>
          <w:tcPr>
            <w:tcW w:w="11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color w:val="ffffff" w:themeColor="background1"/>
              </w:rPr>
            </w:pPr>
            <w:r>
              <w:rPr>
                <w:rFonts w:ascii="Liberation Serif" w:hAnsi="Liberation Serif" w:eastAsia="Liberation Serif" w:cs="Liberation Serif"/>
                <w:color w:val="ffffff" w:themeColor="background1"/>
              </w:rPr>
              <w:t xml:space="preserve">________</w:t>
            </w:r>
            <w:r>
              <w:rPr>
                <w:rFonts w:ascii="Liberation Serif" w:hAnsi="Liberation Serif" w:cs="Liberation Serif"/>
                <w:color w:val="ffffff" w:themeColor="background1"/>
              </w:rPr>
            </w:r>
          </w:p>
        </w:tc>
        <w:tc>
          <w:tcPr>
            <w:tcW w:w="2118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color w:val="ffffff" w:themeColor="background1"/>
              </w:rPr>
            </w:pPr>
            <w:r>
              <w:rPr>
                <w:rFonts w:ascii="Liberation Serif" w:hAnsi="Liberation Serif" w:eastAsia="Liberation Serif" w:cs="Liberation Serif"/>
                <w:color w:val="ffffff" w:themeColor="background1"/>
              </w:rPr>
              <w:t xml:space="preserve">Д.И. Гатин</w:t>
            </w:r>
            <w:r>
              <w:rPr>
                <w:rFonts w:ascii="Liberation Serif" w:hAnsi="Liberation Serif" w:cs="Liberation Serif"/>
                <w:color w:val="ffffff" w:themeColor="background1"/>
              </w:rPr>
            </w:r>
          </w:p>
        </w:tc>
      </w:tr>
      <w:tr>
        <w:tblPrEx/>
        <w:trPr/>
        <w:tc>
          <w:tcPr>
            <w:tcW w:w="7338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color w:val="ffffff" w:themeColor="background1"/>
              </w:rPr>
            </w:pPr>
            <w:r>
              <w:rPr>
                <w:rFonts w:ascii="Liberation Serif" w:hAnsi="Liberation Serif" w:cs="Liberation Serif"/>
                <w:color w:val="ffffff" w:themeColor="background1"/>
              </w:rPr>
            </w:r>
            <w:r>
              <w:rPr>
                <w:rFonts w:ascii="Liberation Serif" w:hAnsi="Liberation Serif" w:cs="Liberation Serif"/>
                <w:color w:val="ffffff" w:themeColor="background1"/>
              </w:rPr>
            </w:r>
          </w:p>
        </w:tc>
        <w:tc>
          <w:tcPr>
            <w:tcW w:w="11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ffffff" w:themeColor="background1"/>
              </w:rPr>
            </w:pPr>
            <w:r>
              <w:rPr>
                <w:rFonts w:ascii="Liberation Serif" w:hAnsi="Liberation Serif" w:cs="Liberation Serif"/>
                <w:color w:val="ffffff" w:themeColor="background1"/>
              </w:rPr>
            </w:r>
            <w:r>
              <w:rPr>
                <w:rFonts w:ascii="Liberation Serif" w:hAnsi="Liberation Serif" w:cs="Liberation Serif"/>
                <w:color w:val="ffffff" w:themeColor="background1"/>
              </w:rPr>
            </w:r>
          </w:p>
        </w:tc>
        <w:tc>
          <w:tcPr>
            <w:tcW w:w="2118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color w:val="ffffff" w:themeColor="background1"/>
              </w:rPr>
            </w:pPr>
            <w:r>
              <w:rPr>
                <w:rFonts w:ascii="Liberation Serif" w:hAnsi="Liberation Serif" w:cs="Liberation Serif"/>
                <w:color w:val="ffffff" w:themeColor="background1"/>
              </w:rPr>
            </w:r>
            <w:r>
              <w:rPr>
                <w:rFonts w:ascii="Liberation Serif" w:hAnsi="Liberation Serif" w:cs="Liberation Serif"/>
                <w:color w:val="ffffff" w:themeColor="background1"/>
              </w:rPr>
            </w:r>
          </w:p>
        </w:tc>
      </w:tr>
      <w:tr>
        <w:tblPrEx/>
        <w:trPr/>
        <w:tc>
          <w:tcPr>
            <w:tcW w:w="7338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color w:val="ffffff" w:themeColor="background1"/>
              </w:rPr>
            </w:pPr>
            <w:r>
              <w:rPr>
                <w:rFonts w:ascii="Liberation Serif" w:hAnsi="Liberation Serif" w:eastAsia="Liberation Serif" w:cs="Liberation Serif"/>
                <w:color w:val="ffffff" w:themeColor="background1"/>
              </w:rPr>
              <w:t xml:space="preserve">Начальник ОИПР АО «Томская генерация»</w:t>
            </w:r>
            <w:r>
              <w:rPr>
                <w:rFonts w:ascii="Liberation Serif" w:hAnsi="Liberation Serif" w:cs="Liberation Serif"/>
                <w:color w:val="ffffff" w:themeColor="background1"/>
              </w:rPr>
            </w:r>
          </w:p>
        </w:tc>
        <w:tc>
          <w:tcPr>
            <w:tcW w:w="11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color w:val="ffffff" w:themeColor="background1"/>
              </w:rPr>
            </w:pPr>
            <w:r>
              <w:rPr>
                <w:rFonts w:ascii="Liberation Serif" w:hAnsi="Liberation Serif" w:eastAsia="Liberation Serif" w:cs="Liberation Serif"/>
                <w:color w:val="ffffff" w:themeColor="background1"/>
              </w:rPr>
              <w:t xml:space="preserve">________</w:t>
            </w:r>
            <w:r>
              <w:rPr>
                <w:rFonts w:ascii="Liberation Serif" w:hAnsi="Liberation Serif" w:cs="Liberation Serif"/>
                <w:color w:val="ffffff" w:themeColor="background1"/>
              </w:rPr>
            </w:r>
          </w:p>
        </w:tc>
        <w:tc>
          <w:tcPr>
            <w:tcW w:w="2118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color w:val="ffffff" w:themeColor="background1"/>
              </w:rPr>
            </w:pPr>
            <w:r>
              <w:rPr>
                <w:rFonts w:ascii="Liberation Serif" w:hAnsi="Liberation Serif" w:eastAsia="Liberation Serif" w:cs="Liberation Serif"/>
                <w:color w:val="ffffff" w:themeColor="background1"/>
              </w:rPr>
              <w:t xml:space="preserve">О.О. Ковалёв</w:t>
            </w:r>
            <w:r>
              <w:rPr>
                <w:rFonts w:ascii="Liberation Serif" w:hAnsi="Liberation Serif" w:cs="Liberation Serif"/>
                <w:color w:val="ffffff" w:themeColor="background1"/>
              </w:rPr>
            </w:r>
          </w:p>
        </w:tc>
      </w:tr>
      <w:tr>
        <w:tblPrEx/>
        <w:trPr>
          <w:trHeight w:val="124"/>
        </w:trPr>
        <w:tc>
          <w:tcPr>
            <w:tcW w:w="7338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color w:val="ffffff" w:themeColor="background1"/>
              </w:rPr>
            </w:pPr>
            <w:r>
              <w:rPr>
                <w:rFonts w:ascii="Liberation Serif" w:hAnsi="Liberation Serif" w:cs="Liberation Serif"/>
                <w:color w:val="ffffff" w:themeColor="background1"/>
              </w:rPr>
            </w:r>
            <w:r>
              <w:rPr>
                <w:rFonts w:ascii="Liberation Serif" w:hAnsi="Liberation Serif" w:cs="Liberation Serif"/>
                <w:color w:val="ffffff" w:themeColor="background1"/>
              </w:rPr>
            </w:r>
          </w:p>
        </w:tc>
        <w:tc>
          <w:tcPr>
            <w:tcW w:w="11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ffffff" w:themeColor="background1"/>
              </w:rPr>
            </w:pPr>
            <w:r>
              <w:rPr>
                <w:rFonts w:ascii="Liberation Serif" w:hAnsi="Liberation Serif" w:cs="Liberation Serif"/>
                <w:color w:val="ffffff" w:themeColor="background1"/>
              </w:rPr>
            </w:r>
            <w:r>
              <w:rPr>
                <w:rFonts w:ascii="Liberation Serif" w:hAnsi="Liberation Serif" w:cs="Liberation Serif"/>
                <w:color w:val="ffffff" w:themeColor="background1"/>
              </w:rPr>
            </w:r>
          </w:p>
        </w:tc>
        <w:tc>
          <w:tcPr>
            <w:tcW w:w="2118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color w:val="ffffff" w:themeColor="background1"/>
              </w:rPr>
            </w:pPr>
            <w:r>
              <w:rPr>
                <w:rFonts w:ascii="Liberation Serif" w:hAnsi="Liberation Serif" w:cs="Liberation Serif"/>
                <w:color w:val="ffffff" w:themeColor="background1"/>
              </w:rPr>
            </w:r>
            <w:r>
              <w:rPr>
                <w:rFonts w:ascii="Liberation Serif" w:hAnsi="Liberation Serif" w:cs="Liberation Serif"/>
                <w:color w:val="ffffff" w:themeColor="background1"/>
              </w:rPr>
            </w:r>
          </w:p>
        </w:tc>
      </w:tr>
      <w:tr>
        <w:tblPrEx/>
        <w:trPr/>
        <w:tc>
          <w:tcPr>
            <w:tcW w:w="7338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color w:val="ffffff" w:themeColor="background1"/>
              </w:rPr>
            </w:pPr>
            <w:r>
              <w:rPr>
                <w:rFonts w:ascii="Liberation Serif" w:hAnsi="Liberation Serif" w:eastAsia="Liberation Serif" w:cs="Liberation Serif"/>
                <w:b/>
                <w:color w:val="ffffff" w:themeColor="background1"/>
              </w:rPr>
              <w:t xml:space="preserve">Ответственные</w:t>
            </w:r>
            <w:r>
              <w:rPr>
                <w:rFonts w:ascii="Liberation Serif" w:hAnsi="Liberation Serif" w:eastAsia="Liberation Serif" w:cs="Liberation Serif"/>
                <w:color w:val="ffffff" w:themeColor="background1"/>
              </w:rPr>
              <w:t xml:space="preserve"> </w:t>
            </w:r>
            <w:r>
              <w:rPr>
                <w:rFonts w:ascii="Liberation Serif" w:hAnsi="Liberation Serif" w:eastAsia="Liberation Serif" w:cs="Liberation Serif"/>
                <w:b/>
                <w:color w:val="ffffff" w:themeColor="background1"/>
              </w:rPr>
              <w:t xml:space="preserve">исполнители:</w:t>
            </w:r>
            <w:r>
              <w:rPr>
                <w:rFonts w:ascii="Liberation Serif" w:hAnsi="Liberation Serif" w:cs="Liberation Serif"/>
                <w:color w:val="ffffff" w:themeColor="background1"/>
              </w:rPr>
            </w:r>
          </w:p>
        </w:tc>
        <w:tc>
          <w:tcPr>
            <w:tcW w:w="11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ffffff" w:themeColor="background1"/>
              </w:rPr>
            </w:pPr>
            <w:r>
              <w:rPr>
                <w:rFonts w:ascii="Liberation Serif" w:hAnsi="Liberation Serif" w:cs="Liberation Serif"/>
                <w:color w:val="ffffff" w:themeColor="background1"/>
              </w:rPr>
            </w:r>
            <w:r>
              <w:rPr>
                <w:rFonts w:ascii="Liberation Serif" w:hAnsi="Liberation Serif" w:cs="Liberation Serif"/>
                <w:color w:val="ffffff" w:themeColor="background1"/>
              </w:rPr>
            </w:r>
          </w:p>
        </w:tc>
        <w:tc>
          <w:tcPr>
            <w:tcW w:w="2118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color w:val="ffffff" w:themeColor="background1"/>
              </w:rPr>
            </w:pPr>
            <w:r>
              <w:rPr>
                <w:rFonts w:ascii="Liberation Serif" w:hAnsi="Liberation Serif" w:cs="Liberation Serif"/>
                <w:color w:val="ffffff" w:themeColor="background1"/>
              </w:rPr>
            </w:r>
            <w:r>
              <w:rPr>
                <w:rFonts w:ascii="Liberation Serif" w:hAnsi="Liberation Serif" w:cs="Liberation Serif"/>
                <w:color w:val="ffffff" w:themeColor="background1"/>
              </w:rPr>
            </w:r>
          </w:p>
        </w:tc>
      </w:tr>
      <w:tr>
        <w:tblPrEx/>
        <w:trPr/>
        <w:tc>
          <w:tcPr>
            <w:tcW w:w="7338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color w:val="ffffff" w:themeColor="background1"/>
              </w:rPr>
            </w:pPr>
            <w:r>
              <w:rPr>
                <w:rFonts w:ascii="Liberation Serif" w:hAnsi="Liberation Serif" w:cs="Liberation Serif"/>
                <w:color w:val="ffffff" w:themeColor="background1"/>
              </w:rPr>
            </w:r>
            <w:r>
              <w:rPr>
                <w:rFonts w:ascii="Liberation Serif" w:hAnsi="Liberation Serif" w:cs="Liberation Serif"/>
                <w:color w:val="ffffff" w:themeColor="background1"/>
              </w:rPr>
            </w:r>
          </w:p>
        </w:tc>
        <w:tc>
          <w:tcPr>
            <w:tcW w:w="11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ffffff" w:themeColor="background1"/>
              </w:rPr>
            </w:pPr>
            <w:r>
              <w:rPr>
                <w:rFonts w:ascii="Liberation Serif" w:hAnsi="Liberation Serif" w:cs="Liberation Serif"/>
                <w:color w:val="ffffff" w:themeColor="background1"/>
              </w:rPr>
            </w:r>
            <w:r>
              <w:rPr>
                <w:rFonts w:ascii="Liberation Serif" w:hAnsi="Liberation Serif" w:cs="Liberation Serif"/>
                <w:color w:val="ffffff" w:themeColor="background1"/>
              </w:rPr>
            </w:r>
          </w:p>
        </w:tc>
        <w:tc>
          <w:tcPr>
            <w:tcW w:w="2118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color w:val="ffffff" w:themeColor="background1"/>
              </w:rPr>
            </w:pPr>
            <w:r>
              <w:rPr>
                <w:rFonts w:ascii="Liberation Serif" w:hAnsi="Liberation Serif" w:cs="Liberation Serif"/>
                <w:color w:val="ffffff" w:themeColor="background1"/>
              </w:rPr>
            </w:r>
            <w:r>
              <w:rPr>
                <w:rFonts w:ascii="Liberation Serif" w:hAnsi="Liberation Serif" w:cs="Liberation Serif"/>
                <w:color w:val="ffffff" w:themeColor="background1"/>
              </w:rPr>
            </w:r>
          </w:p>
        </w:tc>
      </w:tr>
      <w:tr>
        <w:tblPrEx/>
        <w:trPr/>
        <w:tc>
          <w:tcPr>
            <w:tcW w:w="7338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color w:val="ffffff" w:themeColor="background1"/>
              </w:rPr>
            </w:pPr>
            <w:r>
              <w:rPr>
                <w:rFonts w:ascii="Liberation Serif" w:hAnsi="Liberation Serif" w:eastAsia="Liberation Serif" w:cs="Liberation Serif"/>
                <w:color w:val="ffffff" w:themeColor="background1"/>
              </w:rPr>
              <w:t xml:space="preserve">Руководитель НППР СП ТЭЦ-3 АО «Томская генерация»                                             </w:t>
            </w:r>
            <w:r>
              <w:rPr>
                <w:rFonts w:ascii="Liberation Serif" w:hAnsi="Liberation Serif" w:cs="Liberation Serif"/>
                <w:color w:val="ffffff" w:themeColor="background1"/>
              </w:rPr>
            </w:r>
          </w:p>
        </w:tc>
        <w:tc>
          <w:tcPr>
            <w:tcW w:w="11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color w:val="ffffff" w:themeColor="background1"/>
              </w:rPr>
            </w:pPr>
            <w:r>
              <w:rPr>
                <w:rFonts w:ascii="Liberation Serif" w:hAnsi="Liberation Serif" w:eastAsia="Liberation Serif" w:cs="Liberation Serif"/>
                <w:color w:val="ffffff" w:themeColor="background1"/>
              </w:rPr>
              <w:t xml:space="preserve">________</w:t>
            </w:r>
            <w:r>
              <w:rPr>
                <w:rFonts w:ascii="Liberation Serif" w:hAnsi="Liberation Serif" w:cs="Liberation Serif"/>
                <w:color w:val="ffffff" w:themeColor="background1"/>
              </w:rPr>
            </w:r>
          </w:p>
        </w:tc>
        <w:tc>
          <w:tcPr>
            <w:tcW w:w="2118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color w:val="ffffff" w:themeColor="background1"/>
              </w:rPr>
            </w:pPr>
            <w:r>
              <w:rPr>
                <w:rFonts w:ascii="Liberation Serif" w:hAnsi="Liberation Serif" w:eastAsia="Liberation Serif" w:cs="Liberation Serif"/>
                <w:color w:val="ffffff" w:themeColor="background1"/>
              </w:rPr>
              <w:t xml:space="preserve">К.В. Коваленко</w:t>
            </w:r>
            <w:r>
              <w:rPr>
                <w:rFonts w:ascii="Liberation Serif" w:hAnsi="Liberation Serif" w:cs="Liberation Serif"/>
                <w:color w:val="ffffff" w:themeColor="background1"/>
              </w:rPr>
            </w:r>
          </w:p>
        </w:tc>
      </w:tr>
      <w:tr>
        <w:tblPrEx/>
        <w:trPr/>
        <w:tc>
          <w:tcPr>
            <w:tcW w:w="7338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color w:val="ffffff" w:themeColor="background1"/>
              </w:rPr>
            </w:pPr>
            <w:r>
              <w:rPr>
                <w:rFonts w:ascii="Liberation Serif" w:hAnsi="Liberation Serif" w:cs="Liberation Serif"/>
                <w:color w:val="ffffff" w:themeColor="background1"/>
              </w:rPr>
            </w:r>
            <w:r>
              <w:rPr>
                <w:rFonts w:ascii="Liberation Serif" w:hAnsi="Liberation Serif" w:cs="Liberation Serif"/>
                <w:color w:val="ffffff" w:themeColor="background1"/>
              </w:rPr>
            </w:r>
          </w:p>
        </w:tc>
        <w:tc>
          <w:tcPr>
            <w:tcW w:w="11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color w:val="ffffff" w:themeColor="background1"/>
              </w:rPr>
            </w:pPr>
            <w:r>
              <w:rPr>
                <w:rFonts w:ascii="Liberation Serif" w:hAnsi="Liberation Serif" w:cs="Liberation Serif"/>
                <w:color w:val="ffffff" w:themeColor="background1"/>
              </w:rPr>
            </w:r>
            <w:r>
              <w:rPr>
                <w:rFonts w:ascii="Liberation Serif" w:hAnsi="Liberation Serif" w:cs="Liberation Serif"/>
                <w:color w:val="ffffff" w:themeColor="background1"/>
              </w:rPr>
            </w:r>
          </w:p>
        </w:tc>
        <w:tc>
          <w:tcPr>
            <w:tcW w:w="2118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color w:val="ffffff" w:themeColor="background1"/>
              </w:rPr>
            </w:pPr>
            <w:r>
              <w:rPr>
                <w:rFonts w:ascii="Liberation Serif" w:hAnsi="Liberation Serif" w:cs="Liberation Serif"/>
                <w:color w:val="ffffff" w:themeColor="background1"/>
              </w:rPr>
            </w:r>
            <w:r>
              <w:rPr>
                <w:rFonts w:ascii="Liberation Serif" w:hAnsi="Liberation Serif" w:cs="Liberation Serif"/>
                <w:color w:val="ffffff" w:themeColor="background1"/>
              </w:rPr>
            </w:r>
          </w:p>
        </w:tc>
      </w:tr>
    </w:tbl>
    <w:p>
      <w:pPr>
        <w:jc w:val="both"/>
        <w:spacing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sectPr>
      <w:footnotePr/>
      <w:endnotePr/>
      <w:type w:val="nextPage"/>
      <w:pgSz w:w="11906" w:h="16838" w:orient="portrait"/>
      <w:pgMar w:top="567" w:right="425" w:bottom="993" w:left="851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Courier New">
    <w:panose1 w:val="02070409020205020404"/>
  </w:font>
  <w:font w:name="Symbol">
    <w:panose1 w:val="05010000000000000000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Times New Roman">
    <w:panose1 w:val="02020603050405020304"/>
  </w:font>
  <w:font w:name="Wingdings">
    <w:panose1 w:val="05010000000000000000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isLgl w:val="false"/>
      <w:suff w:val="tab"/>
      <w:lvlText w:val="%1.%2."/>
      <w:lvlJc w:val="left"/>
      <w:pPr>
        <w:ind w:left="682" w:hanging="5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 w:val="false"/>
      <w:suff w:val="tab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072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9">
    <w:name w:val="Heading 3 Char"/>
    <w:basedOn w:val="678"/>
    <w:link w:val="671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21">
    <w:name w:val="Heading 4 Char"/>
    <w:basedOn w:val="678"/>
    <w:link w:val="672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3">
    <w:name w:val="Heading 5 Char"/>
    <w:basedOn w:val="678"/>
    <w:link w:val="673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5">
    <w:name w:val="Heading 6 Char"/>
    <w:basedOn w:val="678"/>
    <w:link w:val="67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7">
    <w:name w:val="Heading 7 Char"/>
    <w:basedOn w:val="678"/>
    <w:link w:val="675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9">
    <w:name w:val="Heading 8 Char"/>
    <w:basedOn w:val="678"/>
    <w:link w:val="676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31">
    <w:name w:val="Heading 9 Char"/>
    <w:basedOn w:val="678"/>
    <w:link w:val="677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8">
    <w:name w:val="Subtitle Char"/>
    <w:basedOn w:val="678"/>
    <w:link w:val="691"/>
    <w:uiPriority w:val="11"/>
    <w:rPr>
      <w:sz w:val="24"/>
      <w:szCs w:val="24"/>
    </w:rPr>
  </w:style>
  <w:style w:type="character" w:styleId="40">
    <w:name w:val="Quote Char"/>
    <w:link w:val="693"/>
    <w:uiPriority w:val="29"/>
    <w:rPr>
      <w:i/>
    </w:rPr>
  </w:style>
  <w:style w:type="character" w:styleId="42">
    <w:name w:val="Intense Quote Char"/>
    <w:link w:val="695"/>
    <w:uiPriority w:val="30"/>
    <w:rPr>
      <w:i/>
    </w:rPr>
  </w:style>
  <w:style w:type="character" w:styleId="44">
    <w:name w:val="Header Char"/>
    <w:basedOn w:val="678"/>
    <w:link w:val="697"/>
    <w:uiPriority w:val="99"/>
  </w:style>
  <w:style w:type="character" w:styleId="48">
    <w:name w:val="Caption Char"/>
    <w:basedOn w:val="678"/>
    <w:link w:val="701"/>
    <w:uiPriority w:val="35"/>
    <w:rPr>
      <w:b/>
      <w:bCs/>
      <w:color w:val="4f81bd" w:themeColor="accent1"/>
      <w:sz w:val="18"/>
      <w:szCs w:val="18"/>
    </w:rPr>
  </w:style>
  <w:style w:type="character" w:styleId="177">
    <w:name w:val="Footnote Text Char"/>
    <w:link w:val="829"/>
    <w:uiPriority w:val="99"/>
    <w:rPr>
      <w:sz w:val="18"/>
    </w:rPr>
  </w:style>
  <w:style w:type="character" w:styleId="180">
    <w:name w:val="Endnote Text Char"/>
    <w:link w:val="832"/>
    <w:uiPriority w:val="99"/>
    <w:rPr>
      <w:sz w:val="20"/>
    </w:rPr>
  </w:style>
  <w:style w:type="paragraph" w:styleId="668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69">
    <w:name w:val="Heading 1"/>
    <w:basedOn w:val="668"/>
    <w:next w:val="668"/>
    <w:link w:val="844"/>
    <w:uiPriority w:val="9"/>
    <w:qFormat/>
    <w:pPr>
      <w:keepLines/>
      <w:keepNext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670">
    <w:name w:val="Heading 2"/>
    <w:basedOn w:val="668"/>
    <w:next w:val="668"/>
    <w:link w:val="858"/>
    <w:uiPriority w:val="9"/>
    <w:unhideWhenUsed/>
    <w:qFormat/>
    <w:pPr>
      <w:keepLines/>
      <w:keepNext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671">
    <w:name w:val="Heading 3"/>
    <w:basedOn w:val="668"/>
    <w:next w:val="668"/>
    <w:link w:val="68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2">
    <w:name w:val="Heading 4"/>
    <w:basedOn w:val="668"/>
    <w:next w:val="668"/>
    <w:link w:val="68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3">
    <w:name w:val="Heading 5"/>
    <w:basedOn w:val="668"/>
    <w:next w:val="668"/>
    <w:link w:val="68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74">
    <w:name w:val="Heading 6"/>
    <w:basedOn w:val="668"/>
    <w:next w:val="668"/>
    <w:link w:val="68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75">
    <w:name w:val="Heading 7"/>
    <w:basedOn w:val="668"/>
    <w:next w:val="668"/>
    <w:link w:val="68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76">
    <w:name w:val="Heading 8"/>
    <w:basedOn w:val="668"/>
    <w:next w:val="668"/>
    <w:link w:val="68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77">
    <w:name w:val="Heading 9"/>
    <w:basedOn w:val="668"/>
    <w:next w:val="668"/>
    <w:link w:val="68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8" w:default="1">
    <w:name w:val="Default Paragraph Font"/>
    <w:uiPriority w:val="1"/>
    <w:semiHidden/>
    <w:unhideWhenUsed/>
  </w:style>
  <w:style w:type="table" w:styleId="67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0" w:default="1">
    <w:name w:val="No List"/>
    <w:uiPriority w:val="99"/>
    <w:semiHidden/>
    <w:unhideWhenUsed/>
  </w:style>
  <w:style w:type="character" w:styleId="681" w:customStyle="1">
    <w:name w:val="Heading 1 Char"/>
    <w:basedOn w:val="678"/>
    <w:uiPriority w:val="9"/>
    <w:rPr>
      <w:rFonts w:ascii="Arial" w:hAnsi="Arial" w:eastAsia="Arial" w:cs="Arial"/>
      <w:sz w:val="40"/>
      <w:szCs w:val="40"/>
    </w:rPr>
  </w:style>
  <w:style w:type="character" w:styleId="682" w:customStyle="1">
    <w:name w:val="Heading 2 Char"/>
    <w:basedOn w:val="678"/>
    <w:uiPriority w:val="9"/>
    <w:rPr>
      <w:rFonts w:ascii="Arial" w:hAnsi="Arial" w:eastAsia="Arial" w:cs="Arial"/>
      <w:sz w:val="34"/>
    </w:rPr>
  </w:style>
  <w:style w:type="character" w:styleId="683" w:customStyle="1">
    <w:name w:val="Заголовок 3 Знак"/>
    <w:basedOn w:val="678"/>
    <w:link w:val="671"/>
    <w:uiPriority w:val="9"/>
    <w:rPr>
      <w:rFonts w:ascii="Arial" w:hAnsi="Arial" w:eastAsia="Arial" w:cs="Arial"/>
      <w:sz w:val="30"/>
      <w:szCs w:val="30"/>
    </w:rPr>
  </w:style>
  <w:style w:type="character" w:styleId="684" w:customStyle="1">
    <w:name w:val="Заголовок 4 Знак"/>
    <w:basedOn w:val="678"/>
    <w:link w:val="672"/>
    <w:uiPriority w:val="9"/>
    <w:rPr>
      <w:rFonts w:ascii="Arial" w:hAnsi="Arial" w:eastAsia="Arial" w:cs="Arial"/>
      <w:b/>
      <w:bCs/>
      <w:sz w:val="26"/>
      <w:szCs w:val="26"/>
    </w:rPr>
  </w:style>
  <w:style w:type="character" w:styleId="685" w:customStyle="1">
    <w:name w:val="Заголовок 5 Знак"/>
    <w:basedOn w:val="678"/>
    <w:link w:val="673"/>
    <w:uiPriority w:val="9"/>
    <w:rPr>
      <w:rFonts w:ascii="Arial" w:hAnsi="Arial" w:eastAsia="Arial" w:cs="Arial"/>
      <w:b/>
      <w:bCs/>
      <w:sz w:val="24"/>
      <w:szCs w:val="24"/>
    </w:rPr>
  </w:style>
  <w:style w:type="character" w:styleId="686" w:customStyle="1">
    <w:name w:val="Заголовок 6 Знак"/>
    <w:basedOn w:val="678"/>
    <w:link w:val="674"/>
    <w:uiPriority w:val="9"/>
    <w:rPr>
      <w:rFonts w:ascii="Arial" w:hAnsi="Arial" w:eastAsia="Arial" w:cs="Arial"/>
      <w:b/>
      <w:bCs/>
      <w:sz w:val="22"/>
      <w:szCs w:val="22"/>
    </w:rPr>
  </w:style>
  <w:style w:type="character" w:styleId="687" w:customStyle="1">
    <w:name w:val="Заголовок 7 Знак"/>
    <w:basedOn w:val="678"/>
    <w:link w:val="67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8" w:customStyle="1">
    <w:name w:val="Заголовок 8 Знак"/>
    <w:basedOn w:val="678"/>
    <w:link w:val="676"/>
    <w:uiPriority w:val="9"/>
    <w:rPr>
      <w:rFonts w:ascii="Arial" w:hAnsi="Arial" w:eastAsia="Arial" w:cs="Arial"/>
      <w:i/>
      <w:iCs/>
      <w:sz w:val="22"/>
      <w:szCs w:val="22"/>
    </w:rPr>
  </w:style>
  <w:style w:type="character" w:styleId="689" w:customStyle="1">
    <w:name w:val="Заголовок 9 Знак"/>
    <w:basedOn w:val="678"/>
    <w:link w:val="677"/>
    <w:uiPriority w:val="9"/>
    <w:rPr>
      <w:rFonts w:ascii="Arial" w:hAnsi="Arial" w:eastAsia="Arial" w:cs="Arial"/>
      <w:i/>
      <w:iCs/>
      <w:sz w:val="21"/>
      <w:szCs w:val="21"/>
    </w:rPr>
  </w:style>
  <w:style w:type="character" w:styleId="690" w:customStyle="1">
    <w:name w:val="Title Char"/>
    <w:basedOn w:val="678"/>
    <w:uiPriority w:val="10"/>
    <w:rPr>
      <w:sz w:val="48"/>
      <w:szCs w:val="48"/>
    </w:rPr>
  </w:style>
  <w:style w:type="paragraph" w:styleId="691">
    <w:name w:val="Subtitle"/>
    <w:basedOn w:val="668"/>
    <w:next w:val="668"/>
    <w:link w:val="692"/>
    <w:uiPriority w:val="11"/>
    <w:qFormat/>
    <w:pPr>
      <w:spacing w:before="200" w:after="200"/>
    </w:pPr>
  </w:style>
  <w:style w:type="character" w:styleId="692" w:customStyle="1">
    <w:name w:val="Подзаголовок Знак"/>
    <w:basedOn w:val="678"/>
    <w:link w:val="691"/>
    <w:uiPriority w:val="11"/>
    <w:rPr>
      <w:sz w:val="24"/>
      <w:szCs w:val="24"/>
    </w:rPr>
  </w:style>
  <w:style w:type="paragraph" w:styleId="693">
    <w:name w:val="Quote"/>
    <w:basedOn w:val="668"/>
    <w:next w:val="668"/>
    <w:link w:val="694"/>
    <w:uiPriority w:val="29"/>
    <w:qFormat/>
    <w:pPr>
      <w:ind w:left="720" w:right="720"/>
    </w:pPr>
    <w:rPr>
      <w:i/>
    </w:rPr>
  </w:style>
  <w:style w:type="character" w:styleId="694" w:customStyle="1">
    <w:name w:val="Цитата 2 Знак"/>
    <w:link w:val="693"/>
    <w:uiPriority w:val="29"/>
    <w:rPr>
      <w:i/>
    </w:rPr>
  </w:style>
  <w:style w:type="paragraph" w:styleId="695">
    <w:name w:val="Intense Quote"/>
    <w:basedOn w:val="668"/>
    <w:next w:val="668"/>
    <w:link w:val="69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6" w:customStyle="1">
    <w:name w:val="Выделенная цитата Знак"/>
    <w:link w:val="695"/>
    <w:uiPriority w:val="30"/>
    <w:rPr>
      <w:i/>
    </w:rPr>
  </w:style>
  <w:style w:type="paragraph" w:styleId="697">
    <w:name w:val="Header"/>
    <w:basedOn w:val="668"/>
    <w:link w:val="698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698" w:customStyle="1">
    <w:name w:val="Верхний колонтитул Знак"/>
    <w:basedOn w:val="678"/>
    <w:link w:val="697"/>
    <w:uiPriority w:val="99"/>
  </w:style>
  <w:style w:type="paragraph" w:styleId="699">
    <w:name w:val="Footer"/>
    <w:basedOn w:val="668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0" w:customStyle="1">
    <w:name w:val="Footer Char"/>
    <w:basedOn w:val="678"/>
    <w:uiPriority w:val="99"/>
  </w:style>
  <w:style w:type="paragraph" w:styleId="701">
    <w:name w:val="Caption"/>
    <w:basedOn w:val="668"/>
    <w:next w:val="668"/>
    <w:link w:val="70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2" w:customStyle="1">
    <w:name w:val="Название объекта Знак"/>
    <w:link w:val="701"/>
    <w:uiPriority w:val="99"/>
  </w:style>
  <w:style w:type="table" w:styleId="703">
    <w:name w:val="Table Grid"/>
    <w:basedOn w:val="67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04" w:customStyle="1">
    <w:name w:val="Table Grid Light"/>
    <w:basedOn w:val="679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05">
    <w:name w:val="Plain Table 1"/>
    <w:basedOn w:val="679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6">
    <w:name w:val="Plain Table 2"/>
    <w:basedOn w:val="679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7">
    <w:name w:val="Plain Table 3"/>
    <w:basedOn w:val="67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8">
    <w:name w:val="Plain Table 4"/>
    <w:basedOn w:val="67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Plain Table 5"/>
    <w:basedOn w:val="67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0">
    <w:name w:val="Grid Table 1 Light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 w:customStyle="1">
    <w:name w:val="Grid Table 1 Light - Accent 1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 w:customStyle="1">
    <w:name w:val="Grid Table 1 Light - Accent 2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 w:customStyle="1">
    <w:name w:val="Grid Table 1 Light - Accent 3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 w:customStyle="1">
    <w:name w:val="Grid Table 1 Light - Accent 4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 w:customStyle="1">
    <w:name w:val="Grid Table 1 Light - Accent 5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6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2"/>
    <w:basedOn w:val="6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 w:customStyle="1">
    <w:name w:val="Grid Table 2 - Accent 1"/>
    <w:basedOn w:val="6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 w:customStyle="1">
    <w:name w:val="Grid Table 2 - Accent 2"/>
    <w:basedOn w:val="6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2 - Accent 3"/>
    <w:basedOn w:val="6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2 - Accent 4"/>
    <w:basedOn w:val="6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2 - Accent 5"/>
    <w:basedOn w:val="6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6"/>
    <w:basedOn w:val="6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"/>
    <w:basedOn w:val="6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3 - Accent 1"/>
    <w:basedOn w:val="6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3 - Accent 2"/>
    <w:basedOn w:val="6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3 - Accent 3"/>
    <w:basedOn w:val="6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3 - Accent 4"/>
    <w:basedOn w:val="6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3 - Accent 5"/>
    <w:basedOn w:val="6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6"/>
    <w:basedOn w:val="6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4"/>
    <w:basedOn w:val="679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2" w:customStyle="1">
    <w:name w:val="Grid Table 4 - Accent 1"/>
    <w:basedOn w:val="679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3" w:customStyle="1">
    <w:name w:val="Grid Table 4 - Accent 2"/>
    <w:basedOn w:val="679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34" w:customStyle="1">
    <w:name w:val="Grid Table 4 - Accent 3"/>
    <w:basedOn w:val="679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35" w:customStyle="1">
    <w:name w:val="Grid Table 4 - Accent 4"/>
    <w:basedOn w:val="679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36" w:customStyle="1">
    <w:name w:val="Grid Table 4 - Accent 5"/>
    <w:basedOn w:val="679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37" w:customStyle="1">
    <w:name w:val="Grid Table 4 - Accent 6"/>
    <w:basedOn w:val="679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38">
    <w:name w:val="Grid Table 5 Dark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39" w:customStyle="1">
    <w:name w:val="Grid Table 5 Dark- Accent 1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0" w:customStyle="1">
    <w:name w:val="Grid Table 5 Dark - Accent 2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1" w:customStyle="1">
    <w:name w:val="Grid Table 5 Dark - Accent 3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2" w:customStyle="1">
    <w:name w:val="Grid Table 5 Dark- Accent 4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3" w:customStyle="1">
    <w:name w:val="Grid Table 5 Dark - Accent 5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 - Accent 6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45">
    <w:name w:val="Grid Table 6 Colorful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46" w:customStyle="1">
    <w:name w:val="Grid Table 6 Colorful - Accent 1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47" w:customStyle="1">
    <w:name w:val="Grid Table 6 Colorful - Accent 2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48" w:customStyle="1">
    <w:name w:val="Grid Table 6 Colorful - Accent 3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49" w:customStyle="1">
    <w:name w:val="Grid Table 6 Colorful - Accent 4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0" w:customStyle="1">
    <w:name w:val="Grid Table 6 Colorful - Accent 5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1" w:customStyle="1">
    <w:name w:val="Grid Table 6 Colorful - Accent 6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2">
    <w:name w:val="Grid Table 7 Colorful"/>
    <w:basedOn w:val="6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7 Colorful - Accent 1"/>
    <w:basedOn w:val="6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7 Colorful - Accent 2"/>
    <w:basedOn w:val="6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7 Colorful - Accent 3"/>
    <w:basedOn w:val="6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7 Colorful - Accent 4"/>
    <w:basedOn w:val="6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7 Colorful - Accent 5"/>
    <w:basedOn w:val="6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7 Colorful - Accent 6"/>
    <w:basedOn w:val="6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"/>
    <w:basedOn w:val="67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List Table 1 Light - Accent 1"/>
    <w:basedOn w:val="67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List Table 1 Light - Accent 2"/>
    <w:basedOn w:val="67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List Table 1 Light - Accent 3"/>
    <w:basedOn w:val="67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List Table 1 Light - Accent 4"/>
    <w:basedOn w:val="67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List Table 1 Light - Accent 5"/>
    <w:basedOn w:val="67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6"/>
    <w:basedOn w:val="67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2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67" w:customStyle="1">
    <w:name w:val="List Table 2 - Accent 1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68" w:customStyle="1">
    <w:name w:val="List Table 2 - Accent 2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69" w:customStyle="1">
    <w:name w:val="List Table 2 - Accent 3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0" w:customStyle="1">
    <w:name w:val="List Table 2 - Accent 4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1" w:customStyle="1">
    <w:name w:val="List Table 2 - Accent 5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6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3">
    <w:name w:val="List Table 3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List Table 3 - Accent 1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List Table 3 - Accent 2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3 - Accent 3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3 - Accent 4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3 - Accent 5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6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4 - Accent 1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4 - Accent 2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4 - Accent 3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4 - Accent 4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4 - Accent 5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6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5 Dark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8" w:customStyle="1">
    <w:name w:val="List Table 5 Dark - Accent 1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9" w:customStyle="1">
    <w:name w:val="List Table 5 Dark - Accent 2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0" w:customStyle="1">
    <w:name w:val="List Table 5 Dark - Accent 3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1" w:customStyle="1">
    <w:name w:val="List Table 5 Dark - Accent 4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2" w:customStyle="1">
    <w:name w:val="List Table 5 Dark - Accent 5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6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>
    <w:name w:val="List Table 6 Colorful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5" w:customStyle="1">
    <w:name w:val="List Table 6 Colorful - Accent 1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96" w:customStyle="1">
    <w:name w:val="List Table 6 Colorful - Accent 2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797" w:customStyle="1">
    <w:name w:val="List Table 6 Colorful - Accent 3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798" w:customStyle="1">
    <w:name w:val="List Table 6 Colorful - Accent 4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799" w:customStyle="1">
    <w:name w:val="List Table 6 Colorful - Accent 5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0" w:customStyle="1">
    <w:name w:val="List Table 6 Colorful - Accent 6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1">
    <w:name w:val="List Table 7 Colorful"/>
    <w:basedOn w:val="67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List Table 7 Colorful - Accent 1"/>
    <w:basedOn w:val="67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List Table 7 Colorful - Accent 2"/>
    <w:basedOn w:val="67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List Table 7 Colorful - Accent 3"/>
    <w:basedOn w:val="67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List Table 7 Colorful - Accent 4"/>
    <w:basedOn w:val="67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7 Colorful - Accent 5"/>
    <w:basedOn w:val="67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7 Colorful - Accent 6"/>
    <w:basedOn w:val="67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ned - Accent"/>
    <w:basedOn w:val="67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9" w:customStyle="1">
    <w:name w:val="Lined - Accent 1"/>
    <w:basedOn w:val="67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0" w:customStyle="1">
    <w:name w:val="Lined - Accent 2"/>
    <w:basedOn w:val="67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1" w:customStyle="1">
    <w:name w:val="Lined - Accent 3"/>
    <w:basedOn w:val="67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2" w:customStyle="1">
    <w:name w:val="Lined - Accent 4"/>
    <w:basedOn w:val="67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3" w:customStyle="1">
    <w:name w:val="Lined - Accent 5"/>
    <w:basedOn w:val="67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14" w:customStyle="1">
    <w:name w:val="Lined - Accent 6"/>
    <w:basedOn w:val="67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5" w:customStyle="1">
    <w:name w:val="Bordered &amp; Lined - Accent"/>
    <w:basedOn w:val="67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6" w:customStyle="1">
    <w:name w:val="Bordered &amp; Lined - Accent 1"/>
    <w:basedOn w:val="67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7" w:customStyle="1">
    <w:name w:val="Bordered &amp; Lined - Accent 2"/>
    <w:basedOn w:val="67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8" w:customStyle="1">
    <w:name w:val="Bordered &amp; Lined - Accent 3"/>
    <w:basedOn w:val="67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9" w:customStyle="1">
    <w:name w:val="Bordered &amp; Lined - Accent 4"/>
    <w:basedOn w:val="67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0" w:customStyle="1">
    <w:name w:val="Bordered &amp; Lined - Accent 5"/>
    <w:basedOn w:val="67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1" w:customStyle="1">
    <w:name w:val="Bordered &amp; Lined - Accent 6"/>
    <w:basedOn w:val="67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2" w:customStyle="1">
    <w:name w:val="Bordered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3" w:customStyle="1">
    <w:name w:val="Bordered - Accent 1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24" w:customStyle="1">
    <w:name w:val="Bordered - Accent 2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25" w:customStyle="1">
    <w:name w:val="Bordered - Accent 3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26" w:customStyle="1">
    <w:name w:val="Bordered - Accent 4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27" w:customStyle="1">
    <w:name w:val="Bordered - Accent 5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28" w:customStyle="1">
    <w:name w:val="Bordered - Accent 6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29">
    <w:name w:val="footnote text"/>
    <w:basedOn w:val="668"/>
    <w:link w:val="830"/>
    <w:uiPriority w:val="99"/>
    <w:semiHidden/>
    <w:unhideWhenUsed/>
    <w:pPr>
      <w:spacing w:after="40"/>
    </w:pPr>
    <w:rPr>
      <w:sz w:val="18"/>
    </w:rPr>
  </w:style>
  <w:style w:type="character" w:styleId="830" w:customStyle="1">
    <w:name w:val="Текст сноски Знак"/>
    <w:link w:val="829"/>
    <w:uiPriority w:val="99"/>
    <w:rPr>
      <w:sz w:val="18"/>
    </w:rPr>
  </w:style>
  <w:style w:type="character" w:styleId="831">
    <w:name w:val="footnote reference"/>
    <w:basedOn w:val="678"/>
    <w:uiPriority w:val="99"/>
    <w:unhideWhenUsed/>
    <w:rPr>
      <w:vertAlign w:val="superscript"/>
    </w:rPr>
  </w:style>
  <w:style w:type="paragraph" w:styleId="832">
    <w:name w:val="endnote text"/>
    <w:basedOn w:val="668"/>
    <w:link w:val="833"/>
    <w:uiPriority w:val="99"/>
    <w:semiHidden/>
    <w:unhideWhenUsed/>
    <w:rPr>
      <w:sz w:val="20"/>
    </w:rPr>
  </w:style>
  <w:style w:type="character" w:styleId="833" w:customStyle="1">
    <w:name w:val="Текст концевой сноски Знак"/>
    <w:link w:val="832"/>
    <w:uiPriority w:val="99"/>
    <w:rPr>
      <w:sz w:val="20"/>
    </w:rPr>
  </w:style>
  <w:style w:type="character" w:styleId="834">
    <w:name w:val="endnote reference"/>
    <w:basedOn w:val="678"/>
    <w:uiPriority w:val="99"/>
    <w:semiHidden/>
    <w:unhideWhenUsed/>
    <w:rPr>
      <w:vertAlign w:val="superscript"/>
    </w:rPr>
  </w:style>
  <w:style w:type="paragraph" w:styleId="835">
    <w:name w:val="toc 2"/>
    <w:basedOn w:val="668"/>
    <w:next w:val="668"/>
    <w:uiPriority w:val="39"/>
    <w:unhideWhenUsed/>
    <w:pPr>
      <w:ind w:left="283"/>
      <w:spacing w:after="57"/>
    </w:pPr>
  </w:style>
  <w:style w:type="paragraph" w:styleId="836">
    <w:name w:val="toc 3"/>
    <w:basedOn w:val="668"/>
    <w:next w:val="668"/>
    <w:uiPriority w:val="39"/>
    <w:unhideWhenUsed/>
    <w:pPr>
      <w:ind w:left="567"/>
      <w:spacing w:after="57"/>
    </w:pPr>
  </w:style>
  <w:style w:type="paragraph" w:styleId="837">
    <w:name w:val="toc 4"/>
    <w:basedOn w:val="668"/>
    <w:next w:val="668"/>
    <w:uiPriority w:val="39"/>
    <w:unhideWhenUsed/>
    <w:pPr>
      <w:ind w:left="850"/>
      <w:spacing w:after="57"/>
    </w:pPr>
  </w:style>
  <w:style w:type="paragraph" w:styleId="838">
    <w:name w:val="toc 5"/>
    <w:basedOn w:val="668"/>
    <w:next w:val="668"/>
    <w:uiPriority w:val="39"/>
    <w:unhideWhenUsed/>
    <w:pPr>
      <w:ind w:left="1134"/>
      <w:spacing w:after="57"/>
    </w:pPr>
  </w:style>
  <w:style w:type="paragraph" w:styleId="839">
    <w:name w:val="toc 6"/>
    <w:basedOn w:val="668"/>
    <w:next w:val="668"/>
    <w:uiPriority w:val="39"/>
    <w:unhideWhenUsed/>
    <w:pPr>
      <w:ind w:left="1417"/>
      <w:spacing w:after="57"/>
    </w:pPr>
  </w:style>
  <w:style w:type="paragraph" w:styleId="840">
    <w:name w:val="toc 7"/>
    <w:basedOn w:val="668"/>
    <w:next w:val="668"/>
    <w:uiPriority w:val="39"/>
    <w:unhideWhenUsed/>
    <w:pPr>
      <w:ind w:left="1701"/>
      <w:spacing w:after="57"/>
    </w:pPr>
  </w:style>
  <w:style w:type="paragraph" w:styleId="841">
    <w:name w:val="toc 8"/>
    <w:basedOn w:val="668"/>
    <w:next w:val="668"/>
    <w:uiPriority w:val="39"/>
    <w:unhideWhenUsed/>
    <w:pPr>
      <w:ind w:left="1984"/>
      <w:spacing w:after="57"/>
    </w:pPr>
  </w:style>
  <w:style w:type="paragraph" w:styleId="842">
    <w:name w:val="toc 9"/>
    <w:basedOn w:val="668"/>
    <w:next w:val="668"/>
    <w:uiPriority w:val="39"/>
    <w:unhideWhenUsed/>
    <w:pPr>
      <w:ind w:left="2268"/>
      <w:spacing w:after="57"/>
    </w:pPr>
  </w:style>
  <w:style w:type="paragraph" w:styleId="843">
    <w:name w:val="table of figures"/>
    <w:basedOn w:val="668"/>
    <w:next w:val="668"/>
    <w:uiPriority w:val="99"/>
    <w:unhideWhenUsed/>
  </w:style>
  <w:style w:type="character" w:styleId="844" w:customStyle="1">
    <w:name w:val="Заголовок 1 Знак"/>
    <w:basedOn w:val="678"/>
    <w:link w:val="669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845">
    <w:name w:val="List Paragraph"/>
    <w:basedOn w:val="668"/>
    <w:link w:val="859"/>
    <w:uiPriority w:val="34"/>
    <w:qFormat/>
    <w:pPr>
      <w:contextualSpacing/>
      <w:ind w:left="72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846" w:customStyle="1">
    <w:name w:val="Основной текст Знак1"/>
    <w:basedOn w:val="678"/>
    <w:uiPriority w:val="99"/>
    <w:rPr>
      <w:rFonts w:hint="default" w:ascii="Arial" w:hAnsi="Arial" w:cs="Arial"/>
      <w:shd w:val="clear" w:color="auto" w:fill="ffffff"/>
    </w:rPr>
  </w:style>
  <w:style w:type="paragraph" w:styleId="847">
    <w:name w:val="Title"/>
    <w:basedOn w:val="668"/>
    <w:link w:val="848"/>
    <w:qFormat/>
    <w:pPr>
      <w:jc w:val="center"/>
    </w:pPr>
    <w:rPr>
      <w:b/>
      <w:bCs/>
      <w:sz w:val="28"/>
    </w:rPr>
  </w:style>
  <w:style w:type="character" w:styleId="848" w:customStyle="1">
    <w:name w:val="Заголовок Знак"/>
    <w:basedOn w:val="678"/>
    <w:link w:val="847"/>
    <w:rPr>
      <w:rFonts w:ascii="Times New Roman" w:hAnsi="Times New Roman" w:eastAsia="Times New Roman" w:cs="Times New Roman"/>
      <w:b/>
      <w:bCs/>
      <w:sz w:val="28"/>
      <w:szCs w:val="24"/>
      <w:lang w:eastAsia="ru-RU"/>
    </w:rPr>
  </w:style>
  <w:style w:type="paragraph" w:styleId="849" w:customStyle="1">
    <w:name w:val=".FORMATTEXT"/>
    <w:uiPriority w:val="99"/>
    <w:pPr>
      <w:spacing w:after="0" w:line="240" w:lineRule="auto"/>
      <w:widowControl w:val="off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styleId="850" w:customStyle="1">
    <w:name w:val="Знак Знак Знак Знак Знак Знак Знак"/>
    <w:basedOn w:val="668"/>
    <w:pPr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851">
    <w:name w:val="Balloon Text"/>
    <w:basedOn w:val="668"/>
    <w:link w:val="852"/>
    <w:uiPriority w:val="99"/>
    <w:semiHidden/>
    <w:unhideWhenUsed/>
    <w:rPr>
      <w:rFonts w:ascii="Tahoma" w:hAnsi="Tahoma" w:cs="Tahoma"/>
      <w:sz w:val="16"/>
      <w:szCs w:val="16"/>
    </w:rPr>
  </w:style>
  <w:style w:type="character" w:styleId="852" w:customStyle="1">
    <w:name w:val="Текст выноски Знак"/>
    <w:basedOn w:val="678"/>
    <w:link w:val="851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853" w:customStyle="1">
    <w:name w:val="Знак Знак Знак Знак Знак Знак Знак"/>
    <w:basedOn w:val="668"/>
    <w:pPr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854" w:customStyle="1">
    <w:name w:val="Знак Знак Знак Знак Знак Знак Знак"/>
    <w:basedOn w:val="668"/>
    <w:pPr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855" w:customStyle="1">
    <w:name w:val="Знак Знак Знак Знак Знак Знак Знак"/>
    <w:basedOn w:val="668"/>
    <w:pPr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856" w:customStyle="1">
    <w:name w:val="Знак Знак Знак Знак Знак Знак Знак"/>
    <w:basedOn w:val="668"/>
    <w:pPr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857" w:customStyle="1">
    <w:name w:val="ConsPlusNormal"/>
    <w:pPr>
      <w:spacing w:after="0" w:line="240" w:lineRule="auto"/>
      <w:widowControl w:val="off"/>
    </w:pPr>
    <w:rPr>
      <w:rFonts w:ascii="Arial" w:hAnsi="Arial" w:cs="Arial" w:eastAsiaTheme="minorEastAsia"/>
      <w:sz w:val="20"/>
      <w:szCs w:val="20"/>
      <w:lang w:eastAsia="ru-RU"/>
    </w:rPr>
  </w:style>
  <w:style w:type="character" w:styleId="858" w:customStyle="1">
    <w:name w:val="Заголовок 2 Знак"/>
    <w:basedOn w:val="678"/>
    <w:link w:val="670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eastAsia="ru-RU"/>
    </w:rPr>
  </w:style>
  <w:style w:type="character" w:styleId="859" w:customStyle="1">
    <w:name w:val="Абзац списка Знак"/>
    <w:link w:val="845"/>
    <w:uiPriority w:val="34"/>
  </w:style>
  <w:style w:type="character" w:styleId="860">
    <w:name w:val="Hyperlink"/>
    <w:basedOn w:val="678"/>
    <w:uiPriority w:val="99"/>
    <w:semiHidden/>
    <w:unhideWhenUsed/>
    <w:rPr>
      <w:rFonts w:hint="default" w:ascii="Tahoma" w:hAnsi="Tahoma" w:cs="Tahoma"/>
      <w:strike w:val="0"/>
      <w:color w:val="0000aa"/>
      <w:sz w:val="20"/>
      <w:szCs w:val="20"/>
      <w:u w:val="none"/>
    </w:rPr>
  </w:style>
  <w:style w:type="character" w:styleId="861">
    <w:name w:val="Book Title"/>
    <w:basedOn w:val="678"/>
    <w:uiPriority w:val="33"/>
    <w:qFormat/>
    <w:rPr>
      <w:b/>
      <w:bCs/>
      <w:smallCaps/>
      <w:spacing w:val="5"/>
    </w:rPr>
  </w:style>
  <w:style w:type="paragraph" w:styleId="862">
    <w:name w:val="toc 1"/>
    <w:basedOn w:val="668"/>
    <w:next w:val="668"/>
    <w:uiPriority w:val="39"/>
    <w:unhideWhenUsed/>
    <w:pPr>
      <w:spacing w:after="100" w:line="276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863">
    <w:name w:val="TOC Heading"/>
    <w:basedOn w:val="669"/>
    <w:next w:val="668"/>
    <w:uiPriority w:val="39"/>
    <w:semiHidden/>
    <w:unhideWhenUsed/>
    <w:qFormat/>
    <w:pPr>
      <w:spacing w:line="276" w:lineRule="auto"/>
      <w:outlineLvl w:val="9"/>
    </w:pPr>
  </w:style>
  <w:style w:type="paragraph" w:styleId="864" w:customStyle="1">
    <w:name w:val="Знак Знак Знак Знак Знак Знак Знак"/>
    <w:basedOn w:val="668"/>
    <w:pPr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865" w:customStyle="1">
    <w:name w:val="Знак Знак Знак Знак Знак Знак Знак"/>
    <w:basedOn w:val="668"/>
    <w:pPr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866" w:customStyle="1">
    <w:name w:val="Знак Знак Знак Знак Знак Знак Знак"/>
    <w:basedOn w:val="668"/>
    <w:pPr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szCs w:val="20"/>
      <w:lang w:val="en-US" w:eastAsia="en-US"/>
    </w:rPr>
  </w:style>
  <w:style w:type="character" w:styleId="867" w:customStyle="1">
    <w:name w:val="Заголовок сообщения (текст)"/>
    <w:rPr>
      <w:rFonts w:ascii="Arial" w:hAnsi="Arial"/>
      <w:b/>
      <w:spacing w:val="-4"/>
      <w:sz w:val="18"/>
      <w:vertAlign w:val="baseline"/>
    </w:rPr>
  </w:style>
  <w:style w:type="character" w:styleId="868">
    <w:name w:val="Strong"/>
    <w:basedOn w:val="678"/>
    <w:uiPriority w:val="22"/>
    <w:qFormat/>
    <w:rPr>
      <w:b/>
      <w:bCs/>
    </w:rPr>
  </w:style>
  <w:style w:type="paragraph" w:styleId="869">
    <w:name w:val="Body Text Indent 3"/>
    <w:basedOn w:val="668"/>
    <w:link w:val="870"/>
    <w:pPr>
      <w:ind w:left="283"/>
      <w:spacing w:after="120"/>
    </w:pPr>
    <w:rPr>
      <w:sz w:val="16"/>
      <w:szCs w:val="16"/>
    </w:rPr>
  </w:style>
  <w:style w:type="character" w:styleId="870" w:customStyle="1">
    <w:name w:val="Основной текст с отступом 3 Знак"/>
    <w:basedOn w:val="678"/>
    <w:link w:val="869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871">
    <w:name w:val="annotation reference"/>
    <w:basedOn w:val="678"/>
    <w:uiPriority w:val="99"/>
    <w:semiHidden/>
    <w:unhideWhenUsed/>
    <w:rPr>
      <w:sz w:val="16"/>
      <w:szCs w:val="16"/>
    </w:rPr>
  </w:style>
  <w:style w:type="paragraph" w:styleId="872">
    <w:name w:val="annotation text"/>
    <w:basedOn w:val="668"/>
    <w:link w:val="873"/>
    <w:uiPriority w:val="99"/>
    <w:semiHidden/>
    <w:unhideWhenUsed/>
    <w:rPr>
      <w:sz w:val="20"/>
      <w:szCs w:val="20"/>
    </w:rPr>
  </w:style>
  <w:style w:type="character" w:styleId="873" w:customStyle="1">
    <w:name w:val="Текст примечания Знак"/>
    <w:basedOn w:val="678"/>
    <w:link w:val="872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74">
    <w:name w:val="annotation subject"/>
    <w:basedOn w:val="872"/>
    <w:next w:val="872"/>
    <w:link w:val="875"/>
    <w:uiPriority w:val="99"/>
    <w:semiHidden/>
    <w:unhideWhenUsed/>
    <w:rPr>
      <w:b/>
      <w:bCs/>
    </w:rPr>
  </w:style>
  <w:style w:type="character" w:styleId="875" w:customStyle="1">
    <w:name w:val="Тема примечания Знак"/>
    <w:basedOn w:val="873"/>
    <w:link w:val="874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876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77">
    <w:name w:val="Normal (Web)"/>
    <w:basedOn w:val="668"/>
    <w:uiPriority w:val="99"/>
    <w:unhideWhenUsed/>
    <w:pPr>
      <w:spacing w:before="100" w:beforeAutospacing="1" w:after="100" w:afterAutospacing="1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mailto:urtamov_da@interrao.ru" TargetMode="External"/><Relationship Id="rId11" Type="http://schemas.openxmlformats.org/officeDocument/2006/relationships/hyperlink" Target="mailto:urtamov_da@interrao.ru" TargetMode="External"/><Relationship Id="rId12" Type="http://schemas.openxmlformats.org/officeDocument/2006/relationships/hyperlink" Target="mailto:urtamov_da@interrao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76253-5E82-4DEE-A699-ACA9254E1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Снегирев Николай Викторович</dc:creator>
  <cp:lastModifiedBy>snegirev_nv</cp:lastModifiedBy>
  <cp:revision>4</cp:revision>
  <dcterms:created xsi:type="dcterms:W3CDTF">2026-04-02T06:11:00Z</dcterms:created>
  <dcterms:modified xsi:type="dcterms:W3CDTF">2026-04-14T02:13:04Z</dcterms:modified>
</cp:coreProperties>
</file>